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pPr>
        <w:spacing w:before="0"/>
      </w:pPr>
    </w:p>
    <w:p w:rsidR="00C74A3D" w:rsidRDefault="00C74A3D" w:rsidP="00C74A3D">
      <w:pPr>
        <w:pStyle w:val="Title"/>
      </w:pPr>
      <w:r>
        <w:t>Annual report 2016-17</w:t>
      </w:r>
    </w:p>
    <w:p w:rsidR="00C74A3D" w:rsidRPr="00C74A3D" w:rsidRDefault="00C74A3D" w:rsidP="00C74A3D">
      <w:pPr>
        <w:pStyle w:val="Title2"/>
      </w:pPr>
      <w:r>
        <w:t>Commission for Children and Young People</w:t>
      </w:r>
      <w:r w:rsidR="00C95C0B">
        <w:br w:type="page"/>
      </w:r>
    </w:p>
    <w:p w:rsidR="007A01BD" w:rsidRPr="003F6306" w:rsidRDefault="00F82531" w:rsidP="003F6306">
      <w:r w:rsidRPr="003F6306">
        <w:lastRenderedPageBreak/>
        <w:t>The Commission respectfully acknowledges and celebrates the Traditional Owners of the lands throughout Victoria and pays its respects to their Elders, children and youth of past, current and future  generations.</w:t>
      </w:r>
    </w:p>
    <w:p w:rsidR="007A01BD" w:rsidRPr="003F6306" w:rsidRDefault="00F82531" w:rsidP="003F6306">
      <w:r w:rsidRPr="003F6306">
        <w:t>© Commission for Children and Young People 2017</w:t>
      </w:r>
    </w:p>
    <w:p w:rsidR="007A01BD" w:rsidRPr="003F6306" w:rsidRDefault="00F82531" w:rsidP="003F6306">
      <w:r w:rsidRPr="003F6306">
        <w:t xml:space="preserve">This work is copyright. Apart from any use as permitted under the </w:t>
      </w:r>
      <w:r w:rsidRPr="003F6306">
        <w:rPr>
          <w:i/>
        </w:rPr>
        <w:t xml:space="preserve">Copyright Act </w:t>
      </w:r>
      <w:r w:rsidRPr="003F6306">
        <w:rPr>
          <w:i/>
          <w:spacing w:val="-3"/>
        </w:rPr>
        <w:t>1968</w:t>
      </w:r>
      <w:r w:rsidRPr="003F6306">
        <w:rPr>
          <w:spacing w:val="-3"/>
        </w:rPr>
        <w:t xml:space="preserve">, </w:t>
      </w:r>
      <w:r w:rsidRPr="003F6306">
        <w:t>no part may be reproduced by any process without prior written permission from the</w:t>
      </w:r>
      <w:r w:rsidRPr="003F6306">
        <w:rPr>
          <w:spacing w:val="50"/>
        </w:rPr>
        <w:t xml:space="preserve"> </w:t>
      </w:r>
      <w:r w:rsidRPr="003F6306">
        <w:t>Commission</w:t>
      </w:r>
      <w:r w:rsidR="003F6306" w:rsidRPr="003F6306">
        <w:t xml:space="preserve"> </w:t>
      </w:r>
      <w:r w:rsidRPr="003F6306">
        <w:t>for Children and Young People, Level 18, 570 Bourke Street, Melbourne 3000.</w:t>
      </w:r>
    </w:p>
    <w:p w:rsidR="007A01BD" w:rsidRPr="00DF01C3" w:rsidRDefault="00F82531" w:rsidP="00DF01C3">
      <w:pPr>
        <w:rPr>
          <w:b/>
        </w:rPr>
      </w:pPr>
      <w:r w:rsidRPr="00DF01C3">
        <w:rPr>
          <w:b/>
        </w:rPr>
        <w:t>Suggested citation</w:t>
      </w:r>
    </w:p>
    <w:p w:rsidR="007A01BD" w:rsidRPr="003F6306" w:rsidRDefault="00F82531" w:rsidP="003F6306">
      <w:r w:rsidRPr="003F6306">
        <w:t xml:space="preserve">Commission for Children and Young People, </w:t>
      </w:r>
      <w:r w:rsidRPr="003F6306">
        <w:rPr>
          <w:i/>
        </w:rPr>
        <w:t xml:space="preserve">Annual Report 2016–17. </w:t>
      </w:r>
      <w:r w:rsidRPr="003F6306">
        <w:t>Commission for Children and Young People, Melbourne 2017.</w:t>
      </w:r>
    </w:p>
    <w:p w:rsidR="007A01BD" w:rsidRPr="003F6306" w:rsidRDefault="00F82531" w:rsidP="003F6306">
      <w:r w:rsidRPr="003F6306">
        <w:t>ISBN 978-0-9945296-5-7</w:t>
      </w:r>
    </w:p>
    <w:p w:rsidR="003F6306" w:rsidRPr="003F6306" w:rsidRDefault="00F82531" w:rsidP="003F6306">
      <w:r w:rsidRPr="003F6306">
        <w:t>Commission for Children and Young People</w:t>
      </w:r>
    </w:p>
    <w:p w:rsidR="003F6306" w:rsidRDefault="003F6306" w:rsidP="003F6306">
      <w:r>
        <w:t>Level 18, 570 Bourke Street</w:t>
      </w:r>
    </w:p>
    <w:p w:rsidR="003F6306" w:rsidRDefault="003F6306" w:rsidP="003F6306">
      <w:r>
        <w:t>Melbourne Victoria, 3000</w:t>
      </w:r>
    </w:p>
    <w:p w:rsidR="003F6306" w:rsidRDefault="003F6306" w:rsidP="003F6306">
      <w:r>
        <w:t>Phone: 1300 78 29 78</w:t>
      </w:r>
    </w:p>
    <w:p w:rsidR="003F6306" w:rsidRDefault="003F6306" w:rsidP="003F6306">
      <w:r>
        <w:t>(03) 8601 5884</w:t>
      </w:r>
    </w:p>
    <w:p w:rsidR="003F6306" w:rsidRDefault="003F6306" w:rsidP="003F6306">
      <w:r>
        <w:t xml:space="preserve">Email: </w:t>
      </w:r>
      <w:hyperlink r:id="rId9" w:history="1">
        <w:r w:rsidRPr="00612111">
          <w:rPr>
            <w:rStyle w:val="Hyperlink"/>
          </w:rPr>
          <w:t>childsafe@ccyp.vic.gov.au</w:t>
        </w:r>
      </w:hyperlink>
    </w:p>
    <w:p w:rsidR="003F6306" w:rsidRDefault="00C522E6">
      <w:hyperlink r:id="rId10" w:history="1">
        <w:r w:rsidR="003F6306" w:rsidRPr="00612111">
          <w:rPr>
            <w:rStyle w:val="Hyperlink"/>
          </w:rPr>
          <w:t>www.ccyp.vic.gov.au</w:t>
        </w:r>
      </w:hyperlink>
    </w:p>
    <w:p w:rsidR="003F6306" w:rsidRDefault="003F6306"/>
    <w:p w:rsidR="003F6306" w:rsidRPr="003F6306" w:rsidRDefault="003F6306">
      <w:pPr>
        <w:sectPr w:rsidR="003F6306" w:rsidRPr="003F6306" w:rsidSect="00C74A3D">
          <w:headerReference w:type="first" r:id="rId11"/>
          <w:footerReference w:type="first" r:id="rId12"/>
          <w:pgSz w:w="11910" w:h="16840" w:code="9"/>
          <w:pgMar w:top="1134" w:right="1418" w:bottom="1701" w:left="1418" w:header="720" w:footer="143" w:gutter="0"/>
          <w:cols w:space="720"/>
          <w:titlePg/>
          <w:docGrid w:linePitch="299"/>
        </w:sectPr>
      </w:pPr>
    </w:p>
    <w:p w:rsidR="00DF01C3" w:rsidRDefault="00DF01C3" w:rsidP="00540D7A"/>
    <w:p w:rsidR="00DF01C3" w:rsidRDefault="00DF01C3" w:rsidP="00540D7A"/>
    <w:p w:rsidR="00DF01C3" w:rsidRDefault="00DF01C3" w:rsidP="00540D7A"/>
    <w:p w:rsidR="007A01BD" w:rsidRPr="003F6306" w:rsidRDefault="00F82531" w:rsidP="00540D7A">
      <w:r w:rsidRPr="003F6306">
        <w:t>17 October 2017</w:t>
      </w:r>
    </w:p>
    <w:p w:rsidR="007A01BD" w:rsidRPr="003F6306" w:rsidRDefault="007A01BD" w:rsidP="00540D7A">
      <w:pPr>
        <w:rPr>
          <w:sz w:val="24"/>
        </w:rPr>
      </w:pPr>
    </w:p>
    <w:p w:rsidR="007A01BD" w:rsidRPr="003F6306" w:rsidRDefault="007A01BD" w:rsidP="00540D7A">
      <w:pPr>
        <w:rPr>
          <w:sz w:val="25"/>
        </w:rPr>
      </w:pPr>
    </w:p>
    <w:p w:rsidR="007A01BD" w:rsidRPr="003F6306" w:rsidRDefault="00F82531" w:rsidP="00540D7A">
      <w:r w:rsidRPr="003F6306">
        <w:t xml:space="preserve">The Hon. Jenny Mikakos MLC </w:t>
      </w:r>
      <w:r w:rsidR="005E2801">
        <w:br/>
      </w:r>
      <w:r w:rsidRPr="003F6306">
        <w:t xml:space="preserve">Minister for Families and Children </w:t>
      </w:r>
      <w:r w:rsidR="005E2801">
        <w:br/>
      </w:r>
      <w:r w:rsidRPr="003F6306">
        <w:t>Minister for Youth Affairs</w:t>
      </w:r>
      <w:r w:rsidR="005E2801">
        <w:br/>
      </w:r>
      <w:r w:rsidRPr="003F6306">
        <w:t>Level 22, 50 Lonsdale Street</w:t>
      </w:r>
      <w:r w:rsidR="005E2801">
        <w:br/>
      </w:r>
      <w:r w:rsidRPr="003F6306">
        <w:t>MELBOURNE VIC 3000</w:t>
      </w:r>
    </w:p>
    <w:p w:rsidR="007A01BD" w:rsidRPr="003F6306" w:rsidRDefault="007A01BD" w:rsidP="00540D7A">
      <w:pPr>
        <w:rPr>
          <w:sz w:val="24"/>
        </w:rPr>
      </w:pPr>
    </w:p>
    <w:p w:rsidR="007A01BD" w:rsidRPr="003F6306" w:rsidRDefault="007A01BD" w:rsidP="00540D7A">
      <w:pPr>
        <w:rPr>
          <w:sz w:val="24"/>
        </w:rPr>
      </w:pPr>
    </w:p>
    <w:p w:rsidR="007A01BD" w:rsidRPr="003F6306" w:rsidRDefault="007A01BD" w:rsidP="00540D7A">
      <w:pPr>
        <w:rPr>
          <w:sz w:val="24"/>
        </w:rPr>
      </w:pPr>
    </w:p>
    <w:p w:rsidR="007A01BD" w:rsidRPr="003F6306" w:rsidRDefault="00F82531" w:rsidP="00540D7A">
      <w:r w:rsidRPr="003F6306">
        <w:t>Dear Minister</w:t>
      </w:r>
    </w:p>
    <w:p w:rsidR="007A01BD" w:rsidRPr="003F6306" w:rsidRDefault="007A01BD" w:rsidP="00540D7A">
      <w:pPr>
        <w:rPr>
          <w:sz w:val="24"/>
        </w:rPr>
      </w:pPr>
    </w:p>
    <w:p w:rsidR="007A01BD" w:rsidRPr="003F6306" w:rsidRDefault="007A01BD" w:rsidP="00540D7A">
      <w:pPr>
        <w:rPr>
          <w:sz w:val="25"/>
        </w:rPr>
      </w:pPr>
    </w:p>
    <w:p w:rsidR="007A01BD" w:rsidRPr="003F6306" w:rsidRDefault="00F82531" w:rsidP="00540D7A">
      <w:r w:rsidRPr="003F6306">
        <w:t xml:space="preserve">In accordance with the </w:t>
      </w:r>
      <w:r w:rsidRPr="003F6306">
        <w:rPr>
          <w:i/>
        </w:rPr>
        <w:t>Financial Management Act 1994</w:t>
      </w:r>
      <w:r w:rsidRPr="003F6306">
        <w:t xml:space="preserve">, I am pleased to present </w:t>
      </w:r>
      <w:r w:rsidR="00540D7A">
        <w:t>t</w:t>
      </w:r>
      <w:r w:rsidRPr="003F6306">
        <w:t>he Commission</w:t>
      </w:r>
      <w:r w:rsidRPr="003F6306">
        <w:rPr>
          <w:spacing w:val="-37"/>
        </w:rPr>
        <w:t xml:space="preserve"> </w:t>
      </w:r>
      <w:r w:rsidRPr="003F6306">
        <w:t>for</w:t>
      </w:r>
      <w:r w:rsidRPr="003F6306">
        <w:rPr>
          <w:spacing w:val="-36"/>
        </w:rPr>
        <w:t xml:space="preserve"> </w:t>
      </w:r>
      <w:r w:rsidRPr="003F6306">
        <w:t>Children</w:t>
      </w:r>
      <w:r w:rsidRPr="003F6306">
        <w:rPr>
          <w:spacing w:val="-35"/>
        </w:rPr>
        <w:t xml:space="preserve"> </w:t>
      </w:r>
      <w:r w:rsidRPr="003F6306">
        <w:t>and</w:t>
      </w:r>
      <w:r w:rsidRPr="003F6306">
        <w:rPr>
          <w:spacing w:val="-36"/>
        </w:rPr>
        <w:t xml:space="preserve"> </w:t>
      </w:r>
      <w:r w:rsidRPr="003F6306">
        <w:t>Young</w:t>
      </w:r>
      <w:r w:rsidRPr="003F6306">
        <w:rPr>
          <w:spacing w:val="-36"/>
        </w:rPr>
        <w:t xml:space="preserve"> </w:t>
      </w:r>
      <w:r w:rsidRPr="003F6306">
        <w:t>People’s</w:t>
      </w:r>
      <w:r w:rsidRPr="003F6306">
        <w:rPr>
          <w:spacing w:val="-35"/>
        </w:rPr>
        <w:t xml:space="preserve"> </w:t>
      </w:r>
      <w:r w:rsidRPr="003F6306">
        <w:t>Annual</w:t>
      </w:r>
      <w:r w:rsidRPr="003F6306">
        <w:rPr>
          <w:spacing w:val="-36"/>
        </w:rPr>
        <w:t xml:space="preserve"> </w:t>
      </w:r>
      <w:r w:rsidRPr="003F6306">
        <w:t>Report</w:t>
      </w:r>
      <w:r w:rsidRPr="003F6306">
        <w:rPr>
          <w:spacing w:val="-37"/>
        </w:rPr>
        <w:t xml:space="preserve"> </w:t>
      </w:r>
      <w:r w:rsidRPr="003F6306">
        <w:t>for</w:t>
      </w:r>
      <w:r w:rsidRPr="003F6306">
        <w:rPr>
          <w:spacing w:val="-36"/>
        </w:rPr>
        <w:t xml:space="preserve"> </w:t>
      </w:r>
      <w:r w:rsidRPr="003F6306">
        <w:t>the</w:t>
      </w:r>
      <w:r w:rsidRPr="003F6306">
        <w:rPr>
          <w:spacing w:val="-36"/>
        </w:rPr>
        <w:t xml:space="preserve"> </w:t>
      </w:r>
      <w:r w:rsidRPr="003F6306">
        <w:t>year</w:t>
      </w:r>
      <w:r w:rsidRPr="003F6306">
        <w:rPr>
          <w:spacing w:val="-36"/>
        </w:rPr>
        <w:t xml:space="preserve"> </w:t>
      </w:r>
      <w:r w:rsidRPr="003F6306">
        <w:t>ending</w:t>
      </w:r>
      <w:r w:rsidRPr="003F6306">
        <w:rPr>
          <w:spacing w:val="-35"/>
        </w:rPr>
        <w:t xml:space="preserve"> </w:t>
      </w:r>
      <w:r w:rsidRPr="003F6306">
        <w:t>30</w:t>
      </w:r>
      <w:r w:rsidRPr="003F6306">
        <w:rPr>
          <w:spacing w:val="-37"/>
        </w:rPr>
        <w:t xml:space="preserve"> </w:t>
      </w:r>
      <w:r w:rsidRPr="003F6306">
        <w:t>June 2017.</w:t>
      </w:r>
    </w:p>
    <w:p w:rsidR="007A01BD" w:rsidRPr="003F6306" w:rsidRDefault="007A01BD" w:rsidP="00540D7A">
      <w:pPr>
        <w:rPr>
          <w:sz w:val="24"/>
        </w:rPr>
      </w:pPr>
    </w:p>
    <w:p w:rsidR="007A01BD" w:rsidRPr="003F6306" w:rsidRDefault="007A01BD" w:rsidP="00540D7A">
      <w:pPr>
        <w:rPr>
          <w:sz w:val="25"/>
        </w:rPr>
      </w:pPr>
    </w:p>
    <w:p w:rsidR="007A01BD" w:rsidRPr="003F6306" w:rsidRDefault="00F82531" w:rsidP="00540D7A">
      <w:r w:rsidRPr="003F6306">
        <w:t>Yours sincerely</w:t>
      </w:r>
    </w:p>
    <w:p w:rsidR="005E2801" w:rsidRDefault="005E2801" w:rsidP="00540D7A">
      <w:pPr>
        <w:rPr>
          <w:noProof/>
          <w:lang w:val="en-AU" w:eastAsia="en-AU"/>
        </w:rPr>
      </w:pPr>
    </w:p>
    <w:p w:rsidR="005E2801" w:rsidRDefault="005E2801" w:rsidP="00540D7A">
      <w:pPr>
        <w:rPr>
          <w:noProof/>
          <w:lang w:val="en-AU" w:eastAsia="en-AU"/>
        </w:rPr>
      </w:pPr>
    </w:p>
    <w:p w:rsidR="005E2801" w:rsidRDefault="005E2801" w:rsidP="00540D7A">
      <w:pPr>
        <w:rPr>
          <w:noProof/>
          <w:lang w:val="en-AU" w:eastAsia="en-AU"/>
        </w:rPr>
      </w:pPr>
    </w:p>
    <w:p w:rsidR="007A01BD" w:rsidRPr="003F6306" w:rsidRDefault="00F82531" w:rsidP="00540D7A">
      <w:r w:rsidRPr="003F6306">
        <w:t>Liana Buchanan</w:t>
      </w:r>
    </w:p>
    <w:p w:rsidR="007A01BD" w:rsidRPr="003F6306" w:rsidRDefault="00F82531" w:rsidP="00540D7A">
      <w:pPr>
        <w:rPr>
          <w:b/>
          <w:sz w:val="21"/>
        </w:rPr>
      </w:pPr>
      <w:r w:rsidRPr="003F6306">
        <w:rPr>
          <w:b/>
          <w:sz w:val="21"/>
        </w:rPr>
        <w:t>Principal Commissioner</w:t>
      </w:r>
    </w:p>
    <w:p w:rsidR="003F6306" w:rsidRDefault="003F6306" w:rsidP="003F6306">
      <w:r>
        <w:br w:type="page"/>
      </w:r>
    </w:p>
    <w:p w:rsidR="007A01BD" w:rsidRPr="00C95C0B" w:rsidRDefault="00F82531" w:rsidP="005E2801">
      <w:pPr>
        <w:rPr>
          <w:b/>
        </w:rPr>
      </w:pPr>
      <w:r w:rsidRPr="00C95C0B">
        <w:rPr>
          <w:b/>
        </w:rPr>
        <w:lastRenderedPageBreak/>
        <w:t>Contents</w:t>
      </w:r>
    </w:p>
    <w:bookmarkStart w:id="0" w:name="_TOC_250035"/>
    <w:bookmarkEnd w:id="0"/>
    <w:p w:rsidR="00C95C0B" w:rsidRDefault="00DF01C3">
      <w:pPr>
        <w:pStyle w:val="TOC1"/>
        <w:tabs>
          <w:tab w:val="right" w:leader="dot" w:pos="9064"/>
        </w:tabs>
        <w:rPr>
          <w:rFonts w:asciiTheme="minorHAnsi" w:eastAsiaTheme="minorEastAsia" w:hAnsiTheme="minorHAnsi" w:cstheme="minorBidi"/>
          <w:noProof/>
          <w:sz w:val="22"/>
          <w:szCs w:val="22"/>
          <w:lang w:val="en-AU" w:eastAsia="en-AU"/>
        </w:rPr>
      </w:pPr>
      <w:r>
        <w:fldChar w:fldCharType="begin"/>
      </w:r>
      <w:r>
        <w:instrText xml:space="preserve"> TOC \o "1-2" \h \z \u </w:instrText>
      </w:r>
      <w:r>
        <w:fldChar w:fldCharType="separate"/>
      </w:r>
      <w:hyperlink w:anchor="_Toc496019808" w:history="1">
        <w:r w:rsidR="00C95C0B" w:rsidRPr="00E54D16">
          <w:rPr>
            <w:rStyle w:val="Hyperlink"/>
            <w:noProof/>
          </w:rPr>
          <w:t>Definitions</w:t>
        </w:r>
        <w:r w:rsidR="00C95C0B">
          <w:rPr>
            <w:noProof/>
            <w:webHidden/>
          </w:rPr>
          <w:tab/>
        </w:r>
        <w:r w:rsidR="00C95C0B">
          <w:rPr>
            <w:noProof/>
            <w:webHidden/>
          </w:rPr>
          <w:fldChar w:fldCharType="begin"/>
        </w:r>
        <w:r w:rsidR="00C95C0B">
          <w:rPr>
            <w:noProof/>
            <w:webHidden/>
          </w:rPr>
          <w:instrText xml:space="preserve"> PAGEREF _Toc496019808 \h </w:instrText>
        </w:r>
        <w:r w:rsidR="00C95C0B">
          <w:rPr>
            <w:noProof/>
            <w:webHidden/>
          </w:rPr>
        </w:r>
        <w:r w:rsidR="00C95C0B">
          <w:rPr>
            <w:noProof/>
            <w:webHidden/>
          </w:rPr>
          <w:fldChar w:fldCharType="separate"/>
        </w:r>
        <w:r w:rsidR="00C95C0B">
          <w:rPr>
            <w:noProof/>
            <w:webHidden/>
          </w:rPr>
          <w:t>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09" w:history="1">
        <w:r w:rsidR="00C95C0B" w:rsidRPr="00E54D16">
          <w:rPr>
            <w:rStyle w:val="Hyperlink"/>
            <w:noProof/>
          </w:rPr>
          <w:t>Language in this report</w:t>
        </w:r>
        <w:r w:rsidR="00C95C0B">
          <w:rPr>
            <w:noProof/>
            <w:webHidden/>
          </w:rPr>
          <w:tab/>
        </w:r>
        <w:r w:rsidR="00C95C0B">
          <w:rPr>
            <w:noProof/>
            <w:webHidden/>
          </w:rPr>
          <w:fldChar w:fldCharType="begin"/>
        </w:r>
        <w:r w:rsidR="00C95C0B">
          <w:rPr>
            <w:noProof/>
            <w:webHidden/>
          </w:rPr>
          <w:instrText xml:space="preserve"> PAGEREF _Toc496019809 \h </w:instrText>
        </w:r>
        <w:r w:rsidR="00C95C0B">
          <w:rPr>
            <w:noProof/>
            <w:webHidden/>
          </w:rPr>
        </w:r>
        <w:r w:rsidR="00C95C0B">
          <w:rPr>
            <w:noProof/>
            <w:webHidden/>
          </w:rPr>
          <w:fldChar w:fldCharType="separate"/>
        </w:r>
        <w:r w:rsidR="00C95C0B">
          <w:rPr>
            <w:noProof/>
            <w:webHidden/>
          </w:rPr>
          <w:t>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10" w:history="1">
        <w:r w:rsidR="00C95C0B" w:rsidRPr="00E54D16">
          <w:rPr>
            <w:rStyle w:val="Hyperlink"/>
            <w:noProof/>
          </w:rPr>
          <w:t>Case studies</w:t>
        </w:r>
        <w:r w:rsidR="00C95C0B">
          <w:rPr>
            <w:noProof/>
            <w:webHidden/>
          </w:rPr>
          <w:tab/>
        </w:r>
        <w:r w:rsidR="00C95C0B">
          <w:rPr>
            <w:noProof/>
            <w:webHidden/>
          </w:rPr>
          <w:fldChar w:fldCharType="begin"/>
        </w:r>
        <w:r w:rsidR="00C95C0B">
          <w:rPr>
            <w:noProof/>
            <w:webHidden/>
          </w:rPr>
          <w:instrText xml:space="preserve"> PAGEREF _Toc496019810 \h </w:instrText>
        </w:r>
        <w:r w:rsidR="00C95C0B">
          <w:rPr>
            <w:noProof/>
            <w:webHidden/>
          </w:rPr>
        </w:r>
        <w:r w:rsidR="00C95C0B">
          <w:rPr>
            <w:noProof/>
            <w:webHidden/>
          </w:rPr>
          <w:fldChar w:fldCharType="separate"/>
        </w:r>
        <w:r w:rsidR="00C95C0B">
          <w:rPr>
            <w:noProof/>
            <w:webHidden/>
          </w:rPr>
          <w:t>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11" w:history="1">
        <w:r w:rsidR="00C95C0B" w:rsidRPr="00E54D16">
          <w:rPr>
            <w:rStyle w:val="Hyperlink"/>
            <w:noProof/>
          </w:rPr>
          <w:t>Abbreviations and acronyms</w:t>
        </w:r>
        <w:r w:rsidR="00C95C0B">
          <w:rPr>
            <w:noProof/>
            <w:webHidden/>
          </w:rPr>
          <w:tab/>
        </w:r>
        <w:r w:rsidR="00C95C0B">
          <w:rPr>
            <w:noProof/>
            <w:webHidden/>
          </w:rPr>
          <w:fldChar w:fldCharType="begin"/>
        </w:r>
        <w:r w:rsidR="00C95C0B">
          <w:rPr>
            <w:noProof/>
            <w:webHidden/>
          </w:rPr>
          <w:instrText xml:space="preserve"> PAGEREF _Toc496019811 \h </w:instrText>
        </w:r>
        <w:r w:rsidR="00C95C0B">
          <w:rPr>
            <w:noProof/>
            <w:webHidden/>
          </w:rPr>
        </w:r>
        <w:r w:rsidR="00C95C0B">
          <w:rPr>
            <w:noProof/>
            <w:webHidden/>
          </w:rPr>
          <w:fldChar w:fldCharType="separate"/>
        </w:r>
        <w:r w:rsidR="00C95C0B">
          <w:rPr>
            <w:noProof/>
            <w:webHidden/>
          </w:rPr>
          <w:t>5</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12" w:history="1">
        <w:r w:rsidR="00C95C0B" w:rsidRPr="00E54D16">
          <w:rPr>
            <w:rStyle w:val="Hyperlink"/>
            <w:noProof/>
          </w:rPr>
          <w:t>From the Principal Commissioner</w:t>
        </w:r>
        <w:r w:rsidR="00C95C0B">
          <w:rPr>
            <w:noProof/>
            <w:webHidden/>
          </w:rPr>
          <w:tab/>
        </w:r>
        <w:r w:rsidR="00C95C0B">
          <w:rPr>
            <w:noProof/>
            <w:webHidden/>
          </w:rPr>
          <w:fldChar w:fldCharType="begin"/>
        </w:r>
        <w:r w:rsidR="00C95C0B">
          <w:rPr>
            <w:noProof/>
            <w:webHidden/>
          </w:rPr>
          <w:instrText xml:space="preserve"> PAGEREF _Toc496019812 \h </w:instrText>
        </w:r>
        <w:r w:rsidR="00C95C0B">
          <w:rPr>
            <w:noProof/>
            <w:webHidden/>
          </w:rPr>
        </w:r>
        <w:r w:rsidR="00C95C0B">
          <w:rPr>
            <w:noProof/>
            <w:webHidden/>
          </w:rPr>
          <w:fldChar w:fldCharType="separate"/>
        </w:r>
        <w:r w:rsidR="00C95C0B">
          <w:rPr>
            <w:noProof/>
            <w:webHidden/>
          </w:rPr>
          <w:t>6</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13" w:history="1">
        <w:r w:rsidR="00C95C0B" w:rsidRPr="00E54D16">
          <w:rPr>
            <w:rStyle w:val="Hyperlink"/>
            <w:noProof/>
            <w:spacing w:val="-13"/>
          </w:rPr>
          <w:t xml:space="preserve">From </w:t>
        </w:r>
        <w:r w:rsidR="00C95C0B" w:rsidRPr="00E54D16">
          <w:rPr>
            <w:rStyle w:val="Hyperlink"/>
            <w:noProof/>
            <w:spacing w:val="-6"/>
          </w:rPr>
          <w:t xml:space="preserve">the </w:t>
        </w:r>
        <w:r w:rsidR="00C95C0B" w:rsidRPr="00E54D16">
          <w:rPr>
            <w:rStyle w:val="Hyperlink"/>
            <w:noProof/>
          </w:rPr>
          <w:t xml:space="preserve">Commissioner </w:t>
        </w:r>
        <w:r w:rsidR="00C95C0B" w:rsidRPr="00E54D16">
          <w:rPr>
            <w:rStyle w:val="Hyperlink"/>
            <w:noProof/>
            <w:spacing w:val="-14"/>
          </w:rPr>
          <w:t xml:space="preserve">for </w:t>
        </w:r>
        <w:r w:rsidR="00C95C0B" w:rsidRPr="00E54D16">
          <w:rPr>
            <w:rStyle w:val="Hyperlink"/>
            <w:noProof/>
          </w:rPr>
          <w:t xml:space="preserve">Aboriginal </w:t>
        </w:r>
        <w:r w:rsidR="00C95C0B" w:rsidRPr="00E54D16">
          <w:rPr>
            <w:rStyle w:val="Hyperlink"/>
            <w:noProof/>
            <w:spacing w:val="-10"/>
          </w:rPr>
          <w:t xml:space="preserve">Children </w:t>
        </w:r>
        <w:r w:rsidR="00C95C0B" w:rsidRPr="00E54D16">
          <w:rPr>
            <w:rStyle w:val="Hyperlink"/>
            <w:noProof/>
            <w:spacing w:val="-7"/>
          </w:rPr>
          <w:t xml:space="preserve">and </w:t>
        </w:r>
        <w:r w:rsidR="00C95C0B" w:rsidRPr="00E54D16">
          <w:rPr>
            <w:rStyle w:val="Hyperlink"/>
            <w:noProof/>
            <w:spacing w:val="-19"/>
          </w:rPr>
          <w:t xml:space="preserve">Young </w:t>
        </w:r>
        <w:r w:rsidR="00C95C0B" w:rsidRPr="00E54D16">
          <w:rPr>
            <w:rStyle w:val="Hyperlink"/>
            <w:noProof/>
            <w:spacing w:val="-12"/>
          </w:rPr>
          <w:t>People</w:t>
        </w:r>
        <w:r w:rsidR="00C95C0B">
          <w:rPr>
            <w:noProof/>
            <w:webHidden/>
          </w:rPr>
          <w:tab/>
        </w:r>
        <w:r w:rsidR="00C95C0B">
          <w:rPr>
            <w:noProof/>
            <w:webHidden/>
          </w:rPr>
          <w:fldChar w:fldCharType="begin"/>
        </w:r>
        <w:r w:rsidR="00C95C0B">
          <w:rPr>
            <w:noProof/>
            <w:webHidden/>
          </w:rPr>
          <w:instrText xml:space="preserve"> PAGEREF _Toc496019813 \h </w:instrText>
        </w:r>
        <w:r w:rsidR="00C95C0B">
          <w:rPr>
            <w:noProof/>
            <w:webHidden/>
          </w:rPr>
        </w:r>
        <w:r w:rsidR="00C95C0B">
          <w:rPr>
            <w:noProof/>
            <w:webHidden/>
          </w:rPr>
          <w:fldChar w:fldCharType="separate"/>
        </w:r>
        <w:r w:rsidR="00C95C0B">
          <w:rPr>
            <w:noProof/>
            <w:webHidden/>
          </w:rPr>
          <w:t>8</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14" w:history="1">
        <w:r w:rsidR="00C95C0B" w:rsidRPr="00E54D16">
          <w:rPr>
            <w:rStyle w:val="Hyperlink"/>
            <w:noProof/>
          </w:rPr>
          <w:t>About the Commission for Children and Young People</w:t>
        </w:r>
        <w:r w:rsidR="00C95C0B">
          <w:rPr>
            <w:noProof/>
            <w:webHidden/>
          </w:rPr>
          <w:tab/>
        </w:r>
        <w:r w:rsidR="00C95C0B">
          <w:rPr>
            <w:noProof/>
            <w:webHidden/>
          </w:rPr>
          <w:fldChar w:fldCharType="begin"/>
        </w:r>
        <w:r w:rsidR="00C95C0B">
          <w:rPr>
            <w:noProof/>
            <w:webHidden/>
          </w:rPr>
          <w:instrText xml:space="preserve"> PAGEREF _Toc496019814 \h </w:instrText>
        </w:r>
        <w:r w:rsidR="00C95C0B">
          <w:rPr>
            <w:noProof/>
            <w:webHidden/>
          </w:rPr>
        </w:r>
        <w:r w:rsidR="00C95C0B">
          <w:rPr>
            <w:noProof/>
            <w:webHidden/>
          </w:rPr>
          <w:fldChar w:fldCharType="separate"/>
        </w:r>
        <w:r w:rsidR="00C95C0B">
          <w:rPr>
            <w:noProof/>
            <w:webHidden/>
          </w:rPr>
          <w:t>11</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15" w:history="1">
        <w:r w:rsidR="00C95C0B" w:rsidRPr="00E54D16">
          <w:rPr>
            <w:rStyle w:val="Hyperlink"/>
            <w:noProof/>
          </w:rPr>
          <w:t>Highlights: our year in review</w:t>
        </w:r>
        <w:r w:rsidR="00C95C0B">
          <w:rPr>
            <w:noProof/>
            <w:webHidden/>
          </w:rPr>
          <w:tab/>
        </w:r>
        <w:r w:rsidR="00C95C0B">
          <w:rPr>
            <w:noProof/>
            <w:webHidden/>
          </w:rPr>
          <w:fldChar w:fldCharType="begin"/>
        </w:r>
        <w:r w:rsidR="00C95C0B">
          <w:rPr>
            <w:noProof/>
            <w:webHidden/>
          </w:rPr>
          <w:instrText xml:space="preserve"> PAGEREF _Toc496019815 \h </w:instrText>
        </w:r>
        <w:r w:rsidR="00C95C0B">
          <w:rPr>
            <w:noProof/>
            <w:webHidden/>
          </w:rPr>
        </w:r>
        <w:r w:rsidR="00C95C0B">
          <w:rPr>
            <w:noProof/>
            <w:webHidden/>
          </w:rPr>
          <w:fldChar w:fldCharType="separate"/>
        </w:r>
        <w:r w:rsidR="00C95C0B">
          <w:rPr>
            <w:noProof/>
            <w:webHidden/>
          </w:rPr>
          <w:t>12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16" w:history="1">
        <w:r w:rsidR="00C95C0B" w:rsidRPr="00E54D16">
          <w:rPr>
            <w:rStyle w:val="Hyperlink"/>
            <w:noProof/>
          </w:rPr>
          <w:t>Increasing oversight of youth justice</w:t>
        </w:r>
        <w:r w:rsidR="00C95C0B">
          <w:rPr>
            <w:noProof/>
            <w:webHidden/>
          </w:rPr>
          <w:tab/>
        </w:r>
        <w:r w:rsidR="00C95C0B">
          <w:rPr>
            <w:noProof/>
            <w:webHidden/>
          </w:rPr>
          <w:fldChar w:fldCharType="begin"/>
        </w:r>
        <w:r w:rsidR="00C95C0B">
          <w:rPr>
            <w:noProof/>
            <w:webHidden/>
          </w:rPr>
          <w:instrText xml:space="preserve"> PAGEREF _Toc496019816 \h </w:instrText>
        </w:r>
        <w:r w:rsidR="00C95C0B">
          <w:rPr>
            <w:noProof/>
            <w:webHidden/>
          </w:rPr>
        </w:r>
        <w:r w:rsidR="00C95C0B">
          <w:rPr>
            <w:noProof/>
            <w:webHidden/>
          </w:rPr>
          <w:fldChar w:fldCharType="separate"/>
        </w:r>
        <w:r w:rsidR="00C95C0B">
          <w:rPr>
            <w:noProof/>
            <w:webHidden/>
          </w:rPr>
          <w:t>12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17" w:history="1">
        <w:r w:rsidR="00C95C0B" w:rsidRPr="00E54D16">
          <w:rPr>
            <w:rStyle w:val="Hyperlink"/>
            <w:noProof/>
          </w:rPr>
          <w:t>Advocating for Aboriginal children in out-of-home care</w:t>
        </w:r>
        <w:r w:rsidR="00C95C0B">
          <w:rPr>
            <w:noProof/>
            <w:webHidden/>
          </w:rPr>
          <w:tab/>
        </w:r>
        <w:r w:rsidR="00C95C0B">
          <w:rPr>
            <w:noProof/>
            <w:webHidden/>
          </w:rPr>
          <w:fldChar w:fldCharType="begin"/>
        </w:r>
        <w:r w:rsidR="00C95C0B">
          <w:rPr>
            <w:noProof/>
            <w:webHidden/>
          </w:rPr>
          <w:instrText xml:space="preserve"> PAGEREF _Toc496019817 \h </w:instrText>
        </w:r>
        <w:r w:rsidR="00C95C0B">
          <w:rPr>
            <w:noProof/>
            <w:webHidden/>
          </w:rPr>
        </w:r>
        <w:r w:rsidR="00C95C0B">
          <w:rPr>
            <w:noProof/>
            <w:webHidden/>
          </w:rPr>
          <w:fldChar w:fldCharType="separate"/>
        </w:r>
        <w:r w:rsidR="00C95C0B">
          <w:rPr>
            <w:noProof/>
            <w:webHidden/>
          </w:rPr>
          <w:t>12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18" w:history="1">
        <w:r w:rsidR="00C95C0B" w:rsidRPr="00E54D16">
          <w:rPr>
            <w:rStyle w:val="Hyperlink"/>
            <w:noProof/>
          </w:rPr>
          <w:t>Ensuring children experiencing family violence are heard</w:t>
        </w:r>
        <w:r w:rsidR="00C95C0B">
          <w:rPr>
            <w:noProof/>
            <w:webHidden/>
          </w:rPr>
          <w:tab/>
        </w:r>
        <w:r w:rsidR="00C95C0B">
          <w:rPr>
            <w:noProof/>
            <w:webHidden/>
          </w:rPr>
          <w:fldChar w:fldCharType="begin"/>
        </w:r>
        <w:r w:rsidR="00C95C0B">
          <w:rPr>
            <w:noProof/>
            <w:webHidden/>
          </w:rPr>
          <w:instrText xml:space="preserve"> PAGEREF _Toc496019818 \h </w:instrText>
        </w:r>
        <w:r w:rsidR="00C95C0B">
          <w:rPr>
            <w:noProof/>
            <w:webHidden/>
          </w:rPr>
        </w:r>
        <w:r w:rsidR="00C95C0B">
          <w:rPr>
            <w:noProof/>
            <w:webHidden/>
          </w:rPr>
          <w:fldChar w:fldCharType="separate"/>
        </w:r>
        <w:r w:rsidR="00C95C0B">
          <w:rPr>
            <w:noProof/>
            <w:webHidden/>
          </w:rPr>
          <w:t>12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19" w:history="1">
        <w:r w:rsidR="00C95C0B" w:rsidRPr="00E54D16">
          <w:rPr>
            <w:rStyle w:val="Hyperlink"/>
            <w:noProof/>
          </w:rPr>
          <w:t>Promoting children’s safety in organisations</w:t>
        </w:r>
        <w:r w:rsidR="00C95C0B">
          <w:rPr>
            <w:noProof/>
            <w:webHidden/>
          </w:rPr>
          <w:tab/>
        </w:r>
        <w:r w:rsidR="00C95C0B">
          <w:rPr>
            <w:noProof/>
            <w:webHidden/>
          </w:rPr>
          <w:fldChar w:fldCharType="begin"/>
        </w:r>
        <w:r w:rsidR="00C95C0B">
          <w:rPr>
            <w:noProof/>
            <w:webHidden/>
          </w:rPr>
          <w:instrText xml:space="preserve"> PAGEREF _Toc496019819 \h </w:instrText>
        </w:r>
        <w:r w:rsidR="00C95C0B">
          <w:rPr>
            <w:noProof/>
            <w:webHidden/>
          </w:rPr>
        </w:r>
        <w:r w:rsidR="00C95C0B">
          <w:rPr>
            <w:noProof/>
            <w:webHidden/>
          </w:rPr>
          <w:fldChar w:fldCharType="separate"/>
        </w:r>
        <w:r w:rsidR="00C95C0B">
          <w:rPr>
            <w:noProof/>
            <w:webHidden/>
          </w:rPr>
          <w:t>13</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20" w:history="1">
        <w:r w:rsidR="00C95C0B" w:rsidRPr="00E54D16">
          <w:rPr>
            <w:rStyle w:val="Hyperlink"/>
            <w:noProof/>
          </w:rPr>
          <w:t>Oversight and monitoring</w:t>
        </w:r>
        <w:r w:rsidR="00C95C0B">
          <w:rPr>
            <w:noProof/>
            <w:webHidden/>
          </w:rPr>
          <w:tab/>
        </w:r>
        <w:r w:rsidR="00C95C0B">
          <w:rPr>
            <w:noProof/>
            <w:webHidden/>
          </w:rPr>
          <w:fldChar w:fldCharType="begin"/>
        </w:r>
        <w:r w:rsidR="00C95C0B">
          <w:rPr>
            <w:noProof/>
            <w:webHidden/>
          </w:rPr>
          <w:instrText xml:space="preserve"> PAGEREF _Toc496019820 \h </w:instrText>
        </w:r>
        <w:r w:rsidR="00C95C0B">
          <w:rPr>
            <w:noProof/>
            <w:webHidden/>
          </w:rPr>
        </w:r>
        <w:r w:rsidR="00C95C0B">
          <w:rPr>
            <w:noProof/>
            <w:webHidden/>
          </w:rPr>
          <w:fldChar w:fldCharType="separate"/>
        </w:r>
        <w:r w:rsidR="00C95C0B">
          <w:rPr>
            <w:noProof/>
            <w:webHidden/>
          </w:rPr>
          <w:t>14</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21" w:history="1">
        <w:r w:rsidR="00C95C0B" w:rsidRPr="00E54D16">
          <w:rPr>
            <w:rStyle w:val="Hyperlink"/>
            <w:noProof/>
          </w:rPr>
          <w:t>Overview</w:t>
        </w:r>
        <w:r w:rsidR="00C95C0B">
          <w:rPr>
            <w:noProof/>
            <w:webHidden/>
          </w:rPr>
          <w:tab/>
        </w:r>
        <w:r w:rsidR="00C95C0B">
          <w:rPr>
            <w:noProof/>
            <w:webHidden/>
          </w:rPr>
          <w:fldChar w:fldCharType="begin"/>
        </w:r>
        <w:r w:rsidR="00C95C0B">
          <w:rPr>
            <w:noProof/>
            <w:webHidden/>
          </w:rPr>
          <w:instrText xml:space="preserve"> PAGEREF _Toc496019821 \h </w:instrText>
        </w:r>
        <w:r w:rsidR="00C95C0B">
          <w:rPr>
            <w:noProof/>
            <w:webHidden/>
          </w:rPr>
        </w:r>
        <w:r w:rsidR="00C95C0B">
          <w:rPr>
            <w:noProof/>
            <w:webHidden/>
          </w:rPr>
          <w:fldChar w:fldCharType="separate"/>
        </w:r>
        <w:r w:rsidR="00C95C0B">
          <w:rPr>
            <w:noProof/>
            <w:webHidden/>
          </w:rPr>
          <w:t>14</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22" w:history="1">
        <w:r w:rsidR="00C95C0B" w:rsidRPr="00E54D16">
          <w:rPr>
            <w:rStyle w:val="Hyperlink"/>
            <w:noProof/>
          </w:rPr>
          <w:t>Systemic inquiries</w:t>
        </w:r>
        <w:r w:rsidR="00C95C0B">
          <w:rPr>
            <w:noProof/>
            <w:webHidden/>
          </w:rPr>
          <w:tab/>
        </w:r>
        <w:r w:rsidR="00C95C0B">
          <w:rPr>
            <w:noProof/>
            <w:webHidden/>
          </w:rPr>
          <w:fldChar w:fldCharType="begin"/>
        </w:r>
        <w:r w:rsidR="00C95C0B">
          <w:rPr>
            <w:noProof/>
            <w:webHidden/>
          </w:rPr>
          <w:instrText xml:space="preserve"> PAGEREF _Toc496019822 \h </w:instrText>
        </w:r>
        <w:r w:rsidR="00C95C0B">
          <w:rPr>
            <w:noProof/>
            <w:webHidden/>
          </w:rPr>
        </w:r>
        <w:r w:rsidR="00C95C0B">
          <w:rPr>
            <w:noProof/>
            <w:webHidden/>
          </w:rPr>
          <w:fldChar w:fldCharType="separate"/>
        </w:r>
        <w:r w:rsidR="00C95C0B">
          <w:rPr>
            <w:noProof/>
            <w:webHidden/>
          </w:rPr>
          <w:t>14</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23" w:history="1">
        <w:r w:rsidR="00C95C0B" w:rsidRPr="00E54D16">
          <w:rPr>
            <w:rStyle w:val="Hyperlink"/>
            <w:noProof/>
          </w:rPr>
          <w:t>Recommendations</w:t>
        </w:r>
        <w:r w:rsidR="00C95C0B">
          <w:rPr>
            <w:noProof/>
            <w:webHidden/>
          </w:rPr>
          <w:tab/>
        </w:r>
        <w:r w:rsidR="00C95C0B">
          <w:rPr>
            <w:noProof/>
            <w:webHidden/>
          </w:rPr>
          <w:fldChar w:fldCharType="begin"/>
        </w:r>
        <w:r w:rsidR="00C95C0B">
          <w:rPr>
            <w:noProof/>
            <w:webHidden/>
          </w:rPr>
          <w:instrText xml:space="preserve"> PAGEREF _Toc496019823 \h </w:instrText>
        </w:r>
        <w:r w:rsidR="00C95C0B">
          <w:rPr>
            <w:noProof/>
            <w:webHidden/>
          </w:rPr>
        </w:r>
        <w:r w:rsidR="00C95C0B">
          <w:rPr>
            <w:noProof/>
            <w:webHidden/>
          </w:rPr>
          <w:fldChar w:fldCharType="separate"/>
        </w:r>
        <w:r w:rsidR="00C95C0B">
          <w:rPr>
            <w:noProof/>
            <w:webHidden/>
          </w:rPr>
          <w:t>18</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24" w:history="1">
        <w:r w:rsidR="00C95C0B" w:rsidRPr="00E54D16">
          <w:rPr>
            <w:rStyle w:val="Hyperlink"/>
            <w:noProof/>
          </w:rPr>
          <w:t>Inquiries underway</w:t>
        </w:r>
        <w:r w:rsidR="00C95C0B">
          <w:rPr>
            <w:noProof/>
            <w:webHidden/>
          </w:rPr>
          <w:tab/>
        </w:r>
        <w:r w:rsidR="00C95C0B">
          <w:rPr>
            <w:noProof/>
            <w:webHidden/>
          </w:rPr>
          <w:fldChar w:fldCharType="begin"/>
        </w:r>
        <w:r w:rsidR="00C95C0B">
          <w:rPr>
            <w:noProof/>
            <w:webHidden/>
          </w:rPr>
          <w:instrText xml:space="preserve"> PAGEREF _Toc496019824 \h </w:instrText>
        </w:r>
        <w:r w:rsidR="00C95C0B">
          <w:rPr>
            <w:noProof/>
            <w:webHidden/>
          </w:rPr>
        </w:r>
        <w:r w:rsidR="00C95C0B">
          <w:rPr>
            <w:noProof/>
            <w:webHidden/>
          </w:rPr>
          <w:fldChar w:fldCharType="separate"/>
        </w:r>
        <w:r w:rsidR="00C95C0B">
          <w:rPr>
            <w:noProof/>
            <w:webHidden/>
          </w:rPr>
          <w:t>20</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25" w:history="1">
        <w:r w:rsidR="00C95C0B" w:rsidRPr="00E54D16">
          <w:rPr>
            <w:rStyle w:val="Hyperlink"/>
            <w:noProof/>
          </w:rPr>
          <w:t>Child death inquiries</w:t>
        </w:r>
        <w:r w:rsidR="00C95C0B">
          <w:rPr>
            <w:noProof/>
            <w:webHidden/>
          </w:rPr>
          <w:tab/>
        </w:r>
        <w:r w:rsidR="00C95C0B">
          <w:rPr>
            <w:noProof/>
            <w:webHidden/>
          </w:rPr>
          <w:fldChar w:fldCharType="begin"/>
        </w:r>
        <w:r w:rsidR="00C95C0B">
          <w:rPr>
            <w:noProof/>
            <w:webHidden/>
          </w:rPr>
          <w:instrText xml:space="preserve"> PAGEREF _Toc496019825 \h </w:instrText>
        </w:r>
        <w:r w:rsidR="00C95C0B">
          <w:rPr>
            <w:noProof/>
            <w:webHidden/>
          </w:rPr>
        </w:r>
        <w:r w:rsidR="00C95C0B">
          <w:rPr>
            <w:noProof/>
            <w:webHidden/>
          </w:rPr>
          <w:fldChar w:fldCharType="separate"/>
        </w:r>
        <w:r w:rsidR="00C95C0B">
          <w:rPr>
            <w:noProof/>
            <w:webHidden/>
          </w:rPr>
          <w:t>21</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26" w:history="1">
        <w:r w:rsidR="00C95C0B" w:rsidRPr="00E54D16">
          <w:rPr>
            <w:rStyle w:val="Hyperlink"/>
            <w:noProof/>
          </w:rPr>
          <w:t>Monitoring through on-site visits</w:t>
        </w:r>
        <w:r w:rsidR="00C95C0B">
          <w:rPr>
            <w:noProof/>
            <w:webHidden/>
          </w:rPr>
          <w:tab/>
        </w:r>
        <w:r w:rsidR="00C95C0B">
          <w:rPr>
            <w:noProof/>
            <w:webHidden/>
          </w:rPr>
          <w:fldChar w:fldCharType="begin"/>
        </w:r>
        <w:r w:rsidR="00C95C0B">
          <w:rPr>
            <w:noProof/>
            <w:webHidden/>
          </w:rPr>
          <w:instrText xml:space="preserve"> PAGEREF _Toc496019826 \h </w:instrText>
        </w:r>
        <w:r w:rsidR="00C95C0B">
          <w:rPr>
            <w:noProof/>
            <w:webHidden/>
          </w:rPr>
        </w:r>
        <w:r w:rsidR="00C95C0B">
          <w:rPr>
            <w:noProof/>
            <w:webHidden/>
          </w:rPr>
          <w:fldChar w:fldCharType="separate"/>
        </w:r>
        <w:r w:rsidR="00C95C0B">
          <w:rPr>
            <w:noProof/>
            <w:webHidden/>
          </w:rPr>
          <w:t>29</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27" w:history="1">
        <w:r w:rsidR="00C95C0B" w:rsidRPr="00E54D16">
          <w:rPr>
            <w:rStyle w:val="Hyperlink"/>
            <w:noProof/>
          </w:rPr>
          <w:t>Secure welfare and residential care services</w:t>
        </w:r>
        <w:r w:rsidR="00C95C0B">
          <w:rPr>
            <w:noProof/>
            <w:webHidden/>
          </w:rPr>
          <w:tab/>
        </w:r>
        <w:r w:rsidR="00C95C0B">
          <w:rPr>
            <w:noProof/>
            <w:webHidden/>
          </w:rPr>
          <w:fldChar w:fldCharType="begin"/>
        </w:r>
        <w:r w:rsidR="00C95C0B">
          <w:rPr>
            <w:noProof/>
            <w:webHidden/>
          </w:rPr>
          <w:instrText xml:space="preserve"> PAGEREF _Toc496019827 \h </w:instrText>
        </w:r>
        <w:r w:rsidR="00C95C0B">
          <w:rPr>
            <w:noProof/>
            <w:webHidden/>
          </w:rPr>
        </w:r>
        <w:r w:rsidR="00C95C0B">
          <w:rPr>
            <w:noProof/>
            <w:webHidden/>
          </w:rPr>
          <w:fldChar w:fldCharType="separate"/>
        </w:r>
        <w:r w:rsidR="00C95C0B">
          <w:rPr>
            <w:noProof/>
            <w:webHidden/>
          </w:rPr>
          <w:t>31</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28" w:history="1">
        <w:r w:rsidR="00C95C0B" w:rsidRPr="00E54D16">
          <w:rPr>
            <w:rStyle w:val="Hyperlink"/>
            <w:noProof/>
          </w:rPr>
          <w:t>Oversight of serious incidents</w:t>
        </w:r>
        <w:r w:rsidR="00C95C0B">
          <w:rPr>
            <w:noProof/>
            <w:webHidden/>
          </w:rPr>
          <w:tab/>
        </w:r>
        <w:r w:rsidR="00C95C0B">
          <w:rPr>
            <w:noProof/>
            <w:webHidden/>
          </w:rPr>
          <w:fldChar w:fldCharType="begin"/>
        </w:r>
        <w:r w:rsidR="00C95C0B">
          <w:rPr>
            <w:noProof/>
            <w:webHidden/>
          </w:rPr>
          <w:instrText xml:space="preserve"> PAGEREF _Toc496019828 \h </w:instrText>
        </w:r>
        <w:r w:rsidR="00C95C0B">
          <w:rPr>
            <w:noProof/>
            <w:webHidden/>
          </w:rPr>
        </w:r>
        <w:r w:rsidR="00C95C0B">
          <w:rPr>
            <w:noProof/>
            <w:webHidden/>
          </w:rPr>
          <w:fldChar w:fldCharType="separate"/>
        </w:r>
        <w:r w:rsidR="00C95C0B">
          <w:rPr>
            <w:noProof/>
            <w:webHidden/>
          </w:rPr>
          <w:t>31</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29" w:history="1">
        <w:r w:rsidR="00C95C0B" w:rsidRPr="00E54D16">
          <w:rPr>
            <w:rStyle w:val="Hyperlink"/>
            <w:noProof/>
          </w:rPr>
          <w:t>Approaches from the public</w:t>
        </w:r>
        <w:r w:rsidR="00C95C0B">
          <w:rPr>
            <w:noProof/>
            <w:webHidden/>
          </w:rPr>
          <w:tab/>
        </w:r>
        <w:r w:rsidR="00C95C0B">
          <w:rPr>
            <w:noProof/>
            <w:webHidden/>
          </w:rPr>
          <w:fldChar w:fldCharType="begin"/>
        </w:r>
        <w:r w:rsidR="00C95C0B">
          <w:rPr>
            <w:noProof/>
            <w:webHidden/>
          </w:rPr>
          <w:instrText xml:space="preserve"> PAGEREF _Toc496019829 \h </w:instrText>
        </w:r>
        <w:r w:rsidR="00C95C0B">
          <w:rPr>
            <w:noProof/>
            <w:webHidden/>
          </w:rPr>
        </w:r>
        <w:r w:rsidR="00C95C0B">
          <w:rPr>
            <w:noProof/>
            <w:webHidden/>
          </w:rPr>
          <w:fldChar w:fldCharType="separate"/>
        </w:r>
        <w:r w:rsidR="00C95C0B">
          <w:rPr>
            <w:noProof/>
            <w:webHidden/>
          </w:rPr>
          <w:t>39</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30" w:history="1">
        <w:r w:rsidR="00C95C0B" w:rsidRPr="00E54D16">
          <w:rPr>
            <w:rStyle w:val="Hyperlink"/>
            <w:noProof/>
          </w:rPr>
          <w:t>Influencing policy, programs and services</w:t>
        </w:r>
        <w:r w:rsidR="00C95C0B">
          <w:rPr>
            <w:noProof/>
            <w:webHidden/>
          </w:rPr>
          <w:tab/>
        </w:r>
        <w:r w:rsidR="00C95C0B">
          <w:rPr>
            <w:noProof/>
            <w:webHidden/>
          </w:rPr>
          <w:fldChar w:fldCharType="begin"/>
        </w:r>
        <w:r w:rsidR="00C95C0B">
          <w:rPr>
            <w:noProof/>
            <w:webHidden/>
          </w:rPr>
          <w:instrText xml:space="preserve"> PAGEREF _Toc496019830 \h </w:instrText>
        </w:r>
        <w:r w:rsidR="00C95C0B">
          <w:rPr>
            <w:noProof/>
            <w:webHidden/>
          </w:rPr>
        </w:r>
        <w:r w:rsidR="00C95C0B">
          <w:rPr>
            <w:noProof/>
            <w:webHidden/>
          </w:rPr>
          <w:fldChar w:fldCharType="separate"/>
        </w:r>
        <w:r w:rsidR="00C95C0B">
          <w:rPr>
            <w:noProof/>
            <w:webHidden/>
          </w:rPr>
          <w:t>40</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31" w:history="1">
        <w:r w:rsidR="00C95C0B" w:rsidRPr="00E54D16">
          <w:rPr>
            <w:rStyle w:val="Hyperlink"/>
            <w:noProof/>
          </w:rPr>
          <w:t>Overview</w:t>
        </w:r>
        <w:r w:rsidR="00C95C0B">
          <w:rPr>
            <w:noProof/>
            <w:webHidden/>
          </w:rPr>
          <w:tab/>
        </w:r>
        <w:r w:rsidR="00C95C0B">
          <w:rPr>
            <w:noProof/>
            <w:webHidden/>
          </w:rPr>
          <w:fldChar w:fldCharType="begin"/>
        </w:r>
        <w:r w:rsidR="00C95C0B">
          <w:rPr>
            <w:noProof/>
            <w:webHidden/>
          </w:rPr>
          <w:instrText xml:space="preserve"> PAGEREF _Toc496019831 \h </w:instrText>
        </w:r>
        <w:r w:rsidR="00C95C0B">
          <w:rPr>
            <w:noProof/>
            <w:webHidden/>
          </w:rPr>
        </w:r>
        <w:r w:rsidR="00C95C0B">
          <w:rPr>
            <w:noProof/>
            <w:webHidden/>
          </w:rPr>
          <w:fldChar w:fldCharType="separate"/>
        </w:r>
        <w:r w:rsidR="00C95C0B">
          <w:rPr>
            <w:noProof/>
            <w:webHidden/>
          </w:rPr>
          <w:t>40</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32" w:history="1">
        <w:r w:rsidR="00C95C0B" w:rsidRPr="00E54D16">
          <w:rPr>
            <w:rStyle w:val="Hyperlink"/>
            <w:noProof/>
          </w:rPr>
          <w:t>Youth justice</w:t>
        </w:r>
        <w:r w:rsidR="00C95C0B">
          <w:rPr>
            <w:noProof/>
            <w:webHidden/>
          </w:rPr>
          <w:tab/>
        </w:r>
        <w:r w:rsidR="00C95C0B">
          <w:rPr>
            <w:noProof/>
            <w:webHidden/>
          </w:rPr>
          <w:fldChar w:fldCharType="begin"/>
        </w:r>
        <w:r w:rsidR="00C95C0B">
          <w:rPr>
            <w:noProof/>
            <w:webHidden/>
          </w:rPr>
          <w:instrText xml:space="preserve"> PAGEREF _Toc496019832 \h </w:instrText>
        </w:r>
        <w:r w:rsidR="00C95C0B">
          <w:rPr>
            <w:noProof/>
            <w:webHidden/>
          </w:rPr>
        </w:r>
        <w:r w:rsidR="00C95C0B">
          <w:rPr>
            <w:noProof/>
            <w:webHidden/>
          </w:rPr>
          <w:fldChar w:fldCharType="separate"/>
        </w:r>
        <w:r w:rsidR="00C95C0B">
          <w:rPr>
            <w:noProof/>
            <w:webHidden/>
          </w:rPr>
          <w:t>40</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33" w:history="1">
        <w:r w:rsidR="00C95C0B" w:rsidRPr="00E54D16">
          <w:rPr>
            <w:rStyle w:val="Hyperlink"/>
            <w:noProof/>
          </w:rPr>
          <w:t>Highlighting the needs and experiences of children who experience family violence</w:t>
        </w:r>
        <w:r w:rsidR="00C95C0B">
          <w:rPr>
            <w:noProof/>
            <w:webHidden/>
          </w:rPr>
          <w:tab/>
        </w:r>
        <w:r w:rsidR="00C95C0B">
          <w:rPr>
            <w:noProof/>
            <w:webHidden/>
          </w:rPr>
          <w:fldChar w:fldCharType="begin"/>
        </w:r>
        <w:r w:rsidR="00C95C0B">
          <w:rPr>
            <w:noProof/>
            <w:webHidden/>
          </w:rPr>
          <w:instrText xml:space="preserve"> PAGEREF _Toc496019833 \h </w:instrText>
        </w:r>
        <w:r w:rsidR="00C95C0B">
          <w:rPr>
            <w:noProof/>
            <w:webHidden/>
          </w:rPr>
        </w:r>
        <w:r w:rsidR="00C95C0B">
          <w:rPr>
            <w:noProof/>
            <w:webHidden/>
          </w:rPr>
          <w:fldChar w:fldCharType="separate"/>
        </w:r>
        <w:r w:rsidR="00C95C0B">
          <w:rPr>
            <w:noProof/>
            <w:webHidden/>
          </w:rPr>
          <w:t>42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34" w:history="1">
        <w:r w:rsidR="00C95C0B" w:rsidRPr="00E54D16">
          <w:rPr>
            <w:rStyle w:val="Hyperlink"/>
            <w:noProof/>
          </w:rPr>
          <w:t>Influencing the broader policy agenda for children and young people</w:t>
        </w:r>
        <w:r w:rsidR="00C95C0B">
          <w:rPr>
            <w:noProof/>
            <w:webHidden/>
          </w:rPr>
          <w:tab/>
        </w:r>
        <w:r w:rsidR="00C95C0B">
          <w:rPr>
            <w:noProof/>
            <w:webHidden/>
          </w:rPr>
          <w:fldChar w:fldCharType="begin"/>
        </w:r>
        <w:r w:rsidR="00C95C0B">
          <w:rPr>
            <w:noProof/>
            <w:webHidden/>
          </w:rPr>
          <w:instrText xml:space="preserve"> PAGEREF _Toc496019834 \h </w:instrText>
        </w:r>
        <w:r w:rsidR="00C95C0B">
          <w:rPr>
            <w:noProof/>
            <w:webHidden/>
          </w:rPr>
        </w:r>
        <w:r w:rsidR="00C95C0B">
          <w:rPr>
            <w:noProof/>
            <w:webHidden/>
          </w:rPr>
          <w:fldChar w:fldCharType="separate"/>
        </w:r>
        <w:r w:rsidR="00C95C0B">
          <w:rPr>
            <w:noProof/>
            <w:webHidden/>
          </w:rPr>
          <w:t>42</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35" w:history="1">
        <w:r w:rsidR="00C95C0B" w:rsidRPr="00E54D16">
          <w:rPr>
            <w:rStyle w:val="Hyperlink"/>
            <w:noProof/>
            <w:spacing w:val="-13"/>
          </w:rPr>
          <w:t xml:space="preserve">Supporting </w:t>
        </w:r>
        <w:r w:rsidR="00C95C0B" w:rsidRPr="00E54D16">
          <w:rPr>
            <w:rStyle w:val="Hyperlink"/>
            <w:noProof/>
            <w:spacing w:val="-11"/>
          </w:rPr>
          <w:t xml:space="preserve">and </w:t>
        </w:r>
        <w:r w:rsidR="00C95C0B" w:rsidRPr="00E54D16">
          <w:rPr>
            <w:rStyle w:val="Hyperlink"/>
            <w:noProof/>
            <w:spacing w:val="-15"/>
          </w:rPr>
          <w:t xml:space="preserve">regulating </w:t>
        </w:r>
        <w:r w:rsidR="00C95C0B" w:rsidRPr="00E54D16">
          <w:rPr>
            <w:rStyle w:val="Hyperlink"/>
            <w:noProof/>
          </w:rPr>
          <w:t xml:space="preserve">organisations </w:t>
        </w:r>
        <w:r w:rsidR="00C95C0B" w:rsidRPr="00E54D16">
          <w:rPr>
            <w:rStyle w:val="Hyperlink"/>
            <w:noProof/>
            <w:spacing w:val="-17"/>
          </w:rPr>
          <w:t xml:space="preserve">working </w:t>
        </w:r>
        <w:r w:rsidR="00C95C0B" w:rsidRPr="00E54D16">
          <w:rPr>
            <w:rStyle w:val="Hyperlink"/>
            <w:noProof/>
            <w:spacing w:val="-12"/>
          </w:rPr>
          <w:t xml:space="preserve">with </w:t>
        </w:r>
        <w:r w:rsidR="00C95C0B" w:rsidRPr="00E54D16">
          <w:rPr>
            <w:rStyle w:val="Hyperlink"/>
            <w:noProof/>
            <w:spacing w:val="-14"/>
          </w:rPr>
          <w:t>children</w:t>
        </w:r>
        <w:r w:rsidR="00C95C0B">
          <w:rPr>
            <w:noProof/>
            <w:webHidden/>
          </w:rPr>
          <w:tab/>
        </w:r>
        <w:r w:rsidR="00C95C0B">
          <w:rPr>
            <w:noProof/>
            <w:webHidden/>
          </w:rPr>
          <w:fldChar w:fldCharType="begin"/>
        </w:r>
        <w:r w:rsidR="00C95C0B">
          <w:rPr>
            <w:noProof/>
            <w:webHidden/>
          </w:rPr>
          <w:instrText xml:space="preserve"> PAGEREF _Toc496019835 \h </w:instrText>
        </w:r>
        <w:r w:rsidR="00C95C0B">
          <w:rPr>
            <w:noProof/>
            <w:webHidden/>
          </w:rPr>
        </w:r>
        <w:r w:rsidR="00C95C0B">
          <w:rPr>
            <w:noProof/>
            <w:webHidden/>
          </w:rPr>
          <w:fldChar w:fldCharType="separate"/>
        </w:r>
        <w:r w:rsidR="00C95C0B">
          <w:rPr>
            <w:noProof/>
            <w:webHidden/>
          </w:rPr>
          <w:t>45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36" w:history="1">
        <w:r w:rsidR="00C95C0B" w:rsidRPr="00E54D16">
          <w:rPr>
            <w:rStyle w:val="Hyperlink"/>
            <w:noProof/>
          </w:rPr>
          <w:t>Overview</w:t>
        </w:r>
        <w:r w:rsidR="00C95C0B">
          <w:rPr>
            <w:noProof/>
            <w:webHidden/>
          </w:rPr>
          <w:tab/>
        </w:r>
        <w:r w:rsidR="00C95C0B">
          <w:rPr>
            <w:noProof/>
            <w:webHidden/>
          </w:rPr>
          <w:fldChar w:fldCharType="begin"/>
        </w:r>
        <w:r w:rsidR="00C95C0B">
          <w:rPr>
            <w:noProof/>
            <w:webHidden/>
          </w:rPr>
          <w:instrText xml:space="preserve"> PAGEREF _Toc496019836 \h </w:instrText>
        </w:r>
        <w:r w:rsidR="00C95C0B">
          <w:rPr>
            <w:noProof/>
            <w:webHidden/>
          </w:rPr>
        </w:r>
        <w:r w:rsidR="00C95C0B">
          <w:rPr>
            <w:noProof/>
            <w:webHidden/>
          </w:rPr>
          <w:fldChar w:fldCharType="separate"/>
        </w:r>
        <w:r w:rsidR="00C95C0B">
          <w:rPr>
            <w:noProof/>
            <w:webHidden/>
          </w:rPr>
          <w:t>45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37" w:history="1">
        <w:r w:rsidR="00C95C0B" w:rsidRPr="00E54D16">
          <w:rPr>
            <w:rStyle w:val="Hyperlink"/>
            <w:noProof/>
          </w:rPr>
          <w:t>New regulatory schemes introduced to prevent and respond to child abuse</w:t>
        </w:r>
        <w:r w:rsidR="00C95C0B">
          <w:rPr>
            <w:noProof/>
            <w:webHidden/>
          </w:rPr>
          <w:tab/>
        </w:r>
        <w:r w:rsidR="00C95C0B">
          <w:rPr>
            <w:noProof/>
            <w:webHidden/>
          </w:rPr>
          <w:fldChar w:fldCharType="begin"/>
        </w:r>
        <w:r w:rsidR="00C95C0B">
          <w:rPr>
            <w:noProof/>
            <w:webHidden/>
          </w:rPr>
          <w:instrText xml:space="preserve"> PAGEREF _Toc496019837 \h </w:instrText>
        </w:r>
        <w:r w:rsidR="00C95C0B">
          <w:rPr>
            <w:noProof/>
            <w:webHidden/>
          </w:rPr>
        </w:r>
        <w:r w:rsidR="00C95C0B">
          <w:rPr>
            <w:noProof/>
            <w:webHidden/>
          </w:rPr>
          <w:fldChar w:fldCharType="separate"/>
        </w:r>
        <w:r w:rsidR="00C95C0B">
          <w:rPr>
            <w:noProof/>
            <w:webHidden/>
          </w:rPr>
          <w:t>45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38" w:history="1">
        <w:r w:rsidR="00C95C0B" w:rsidRPr="00E54D16">
          <w:rPr>
            <w:rStyle w:val="Hyperlink"/>
            <w:noProof/>
          </w:rPr>
          <w:t>Child Safe Standards</w:t>
        </w:r>
        <w:r w:rsidR="00C95C0B">
          <w:rPr>
            <w:noProof/>
            <w:webHidden/>
          </w:rPr>
          <w:tab/>
        </w:r>
        <w:r w:rsidR="00C95C0B">
          <w:rPr>
            <w:noProof/>
            <w:webHidden/>
          </w:rPr>
          <w:fldChar w:fldCharType="begin"/>
        </w:r>
        <w:r w:rsidR="00C95C0B">
          <w:rPr>
            <w:noProof/>
            <w:webHidden/>
          </w:rPr>
          <w:instrText xml:space="preserve"> PAGEREF _Toc496019838 \h </w:instrText>
        </w:r>
        <w:r w:rsidR="00C95C0B">
          <w:rPr>
            <w:noProof/>
            <w:webHidden/>
          </w:rPr>
        </w:r>
        <w:r w:rsidR="00C95C0B">
          <w:rPr>
            <w:noProof/>
            <w:webHidden/>
          </w:rPr>
          <w:fldChar w:fldCharType="separate"/>
        </w:r>
        <w:r w:rsidR="00C95C0B">
          <w:rPr>
            <w:noProof/>
            <w:webHidden/>
          </w:rPr>
          <w:t>46</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39" w:history="1">
        <w:r w:rsidR="00C95C0B" w:rsidRPr="00E54D16">
          <w:rPr>
            <w:rStyle w:val="Hyperlink"/>
            <w:noProof/>
          </w:rPr>
          <w:t>Compliance support</w:t>
        </w:r>
        <w:r w:rsidR="00C95C0B">
          <w:rPr>
            <w:noProof/>
            <w:webHidden/>
          </w:rPr>
          <w:tab/>
        </w:r>
        <w:r w:rsidR="00C95C0B">
          <w:rPr>
            <w:noProof/>
            <w:webHidden/>
          </w:rPr>
          <w:fldChar w:fldCharType="begin"/>
        </w:r>
        <w:r w:rsidR="00C95C0B">
          <w:rPr>
            <w:noProof/>
            <w:webHidden/>
          </w:rPr>
          <w:instrText xml:space="preserve"> PAGEREF _Toc496019839 \h </w:instrText>
        </w:r>
        <w:r w:rsidR="00C95C0B">
          <w:rPr>
            <w:noProof/>
            <w:webHidden/>
          </w:rPr>
        </w:r>
        <w:r w:rsidR="00C95C0B">
          <w:rPr>
            <w:noProof/>
            <w:webHidden/>
          </w:rPr>
          <w:fldChar w:fldCharType="separate"/>
        </w:r>
        <w:r w:rsidR="00C95C0B">
          <w:rPr>
            <w:noProof/>
            <w:webHidden/>
          </w:rPr>
          <w:t>46</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0" w:history="1">
        <w:r w:rsidR="00C95C0B" w:rsidRPr="00E54D16">
          <w:rPr>
            <w:rStyle w:val="Hyperlink"/>
            <w:noProof/>
          </w:rPr>
          <w:t>Compliance activities</w:t>
        </w:r>
        <w:r w:rsidR="00C95C0B">
          <w:rPr>
            <w:noProof/>
            <w:webHidden/>
          </w:rPr>
          <w:tab/>
        </w:r>
        <w:r w:rsidR="00C95C0B">
          <w:rPr>
            <w:noProof/>
            <w:webHidden/>
          </w:rPr>
          <w:fldChar w:fldCharType="begin"/>
        </w:r>
        <w:r w:rsidR="00C95C0B">
          <w:rPr>
            <w:noProof/>
            <w:webHidden/>
          </w:rPr>
          <w:instrText xml:space="preserve"> PAGEREF _Toc496019840 \h </w:instrText>
        </w:r>
        <w:r w:rsidR="00C95C0B">
          <w:rPr>
            <w:noProof/>
            <w:webHidden/>
          </w:rPr>
        </w:r>
        <w:r w:rsidR="00C95C0B">
          <w:rPr>
            <w:noProof/>
            <w:webHidden/>
          </w:rPr>
          <w:fldChar w:fldCharType="separate"/>
        </w:r>
        <w:r w:rsidR="00C95C0B">
          <w:rPr>
            <w:noProof/>
            <w:webHidden/>
          </w:rPr>
          <w:t>48</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1" w:history="1">
        <w:r w:rsidR="00C95C0B" w:rsidRPr="00E54D16">
          <w:rPr>
            <w:rStyle w:val="Hyperlink"/>
            <w:noProof/>
          </w:rPr>
          <w:t>Compliance and education activities by relevant authorities</w:t>
        </w:r>
        <w:r w:rsidR="00C95C0B">
          <w:rPr>
            <w:noProof/>
            <w:webHidden/>
          </w:rPr>
          <w:tab/>
        </w:r>
        <w:r w:rsidR="00C95C0B">
          <w:rPr>
            <w:noProof/>
            <w:webHidden/>
          </w:rPr>
          <w:fldChar w:fldCharType="begin"/>
        </w:r>
        <w:r w:rsidR="00C95C0B">
          <w:rPr>
            <w:noProof/>
            <w:webHidden/>
          </w:rPr>
          <w:instrText xml:space="preserve"> PAGEREF _Toc496019841 \h </w:instrText>
        </w:r>
        <w:r w:rsidR="00C95C0B">
          <w:rPr>
            <w:noProof/>
            <w:webHidden/>
          </w:rPr>
        </w:r>
        <w:r w:rsidR="00C95C0B">
          <w:rPr>
            <w:noProof/>
            <w:webHidden/>
          </w:rPr>
          <w:fldChar w:fldCharType="separate"/>
        </w:r>
        <w:r w:rsidR="00C95C0B">
          <w:rPr>
            <w:noProof/>
            <w:webHidden/>
          </w:rPr>
          <w:t>50</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2" w:history="1">
        <w:r w:rsidR="00C95C0B" w:rsidRPr="00E54D16">
          <w:rPr>
            <w:rStyle w:val="Hyperlink"/>
            <w:noProof/>
          </w:rPr>
          <w:t>Reportable Conduct Scheme</w:t>
        </w:r>
        <w:r w:rsidR="00C95C0B">
          <w:rPr>
            <w:noProof/>
            <w:webHidden/>
          </w:rPr>
          <w:tab/>
        </w:r>
        <w:r w:rsidR="00C95C0B">
          <w:rPr>
            <w:noProof/>
            <w:webHidden/>
          </w:rPr>
          <w:fldChar w:fldCharType="begin"/>
        </w:r>
        <w:r w:rsidR="00C95C0B">
          <w:rPr>
            <w:noProof/>
            <w:webHidden/>
          </w:rPr>
          <w:instrText xml:space="preserve"> PAGEREF _Toc496019842 \h </w:instrText>
        </w:r>
        <w:r w:rsidR="00C95C0B">
          <w:rPr>
            <w:noProof/>
            <w:webHidden/>
          </w:rPr>
        </w:r>
        <w:r w:rsidR="00C95C0B">
          <w:rPr>
            <w:noProof/>
            <w:webHidden/>
          </w:rPr>
          <w:fldChar w:fldCharType="separate"/>
        </w:r>
        <w:r w:rsidR="00C95C0B">
          <w:rPr>
            <w:noProof/>
            <w:webHidden/>
          </w:rPr>
          <w:t>52</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43" w:history="1">
        <w:r w:rsidR="00C95C0B" w:rsidRPr="00E54D16">
          <w:rPr>
            <w:rStyle w:val="Hyperlink"/>
            <w:noProof/>
          </w:rPr>
          <w:t>Improving outcomes for Aboriginal children</w:t>
        </w:r>
        <w:r w:rsidR="00C95C0B">
          <w:rPr>
            <w:noProof/>
            <w:webHidden/>
          </w:rPr>
          <w:tab/>
        </w:r>
        <w:r w:rsidR="00C95C0B">
          <w:rPr>
            <w:noProof/>
            <w:webHidden/>
          </w:rPr>
          <w:fldChar w:fldCharType="begin"/>
        </w:r>
        <w:r w:rsidR="00C95C0B">
          <w:rPr>
            <w:noProof/>
            <w:webHidden/>
          </w:rPr>
          <w:instrText xml:space="preserve"> PAGEREF _Toc496019843 \h </w:instrText>
        </w:r>
        <w:r w:rsidR="00C95C0B">
          <w:rPr>
            <w:noProof/>
            <w:webHidden/>
          </w:rPr>
        </w:r>
        <w:r w:rsidR="00C95C0B">
          <w:rPr>
            <w:noProof/>
            <w:webHidden/>
          </w:rPr>
          <w:fldChar w:fldCharType="separate"/>
        </w:r>
        <w:r w:rsidR="00C95C0B">
          <w:rPr>
            <w:noProof/>
            <w:webHidden/>
          </w:rPr>
          <w:t>54</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4" w:history="1">
        <w:r w:rsidR="00C95C0B" w:rsidRPr="00E54D16">
          <w:rPr>
            <w:rStyle w:val="Hyperlink"/>
            <w:noProof/>
          </w:rPr>
          <w:t>Overview</w:t>
        </w:r>
        <w:r w:rsidR="00C95C0B">
          <w:rPr>
            <w:noProof/>
            <w:webHidden/>
          </w:rPr>
          <w:tab/>
        </w:r>
        <w:r w:rsidR="00C95C0B">
          <w:rPr>
            <w:noProof/>
            <w:webHidden/>
          </w:rPr>
          <w:fldChar w:fldCharType="begin"/>
        </w:r>
        <w:r w:rsidR="00C95C0B">
          <w:rPr>
            <w:noProof/>
            <w:webHidden/>
          </w:rPr>
          <w:instrText xml:space="preserve"> PAGEREF _Toc496019844 \h </w:instrText>
        </w:r>
        <w:r w:rsidR="00C95C0B">
          <w:rPr>
            <w:noProof/>
            <w:webHidden/>
          </w:rPr>
        </w:r>
        <w:r w:rsidR="00C95C0B">
          <w:rPr>
            <w:noProof/>
            <w:webHidden/>
          </w:rPr>
          <w:fldChar w:fldCharType="separate"/>
        </w:r>
        <w:r w:rsidR="00C95C0B">
          <w:rPr>
            <w:noProof/>
            <w:webHidden/>
          </w:rPr>
          <w:t>54</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5" w:history="1">
        <w:r w:rsidR="00C95C0B" w:rsidRPr="00E54D16">
          <w:rPr>
            <w:rStyle w:val="Hyperlink"/>
            <w:noProof/>
          </w:rPr>
          <w:t>Engagement work</w:t>
        </w:r>
        <w:r w:rsidR="00C95C0B">
          <w:rPr>
            <w:noProof/>
            <w:webHidden/>
          </w:rPr>
          <w:tab/>
        </w:r>
        <w:r w:rsidR="00C95C0B">
          <w:rPr>
            <w:noProof/>
            <w:webHidden/>
          </w:rPr>
          <w:fldChar w:fldCharType="begin"/>
        </w:r>
        <w:r w:rsidR="00C95C0B">
          <w:rPr>
            <w:noProof/>
            <w:webHidden/>
          </w:rPr>
          <w:instrText xml:space="preserve"> PAGEREF _Toc496019845 \h </w:instrText>
        </w:r>
        <w:r w:rsidR="00C95C0B">
          <w:rPr>
            <w:noProof/>
            <w:webHidden/>
          </w:rPr>
        </w:r>
        <w:r w:rsidR="00C95C0B">
          <w:rPr>
            <w:noProof/>
            <w:webHidden/>
          </w:rPr>
          <w:fldChar w:fldCharType="separate"/>
        </w:r>
        <w:r w:rsidR="00C95C0B">
          <w:rPr>
            <w:noProof/>
            <w:webHidden/>
          </w:rPr>
          <w:t>54</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6" w:history="1">
        <w:r w:rsidR="00C95C0B" w:rsidRPr="00E54D16">
          <w:rPr>
            <w:rStyle w:val="Hyperlink"/>
            <w:noProof/>
          </w:rPr>
          <w:t>The Aboriginal Children’s Forum</w:t>
        </w:r>
        <w:r w:rsidR="00C95C0B">
          <w:rPr>
            <w:noProof/>
            <w:webHidden/>
          </w:rPr>
          <w:tab/>
        </w:r>
        <w:r w:rsidR="00C95C0B">
          <w:rPr>
            <w:noProof/>
            <w:webHidden/>
          </w:rPr>
          <w:fldChar w:fldCharType="begin"/>
        </w:r>
        <w:r w:rsidR="00C95C0B">
          <w:rPr>
            <w:noProof/>
            <w:webHidden/>
          </w:rPr>
          <w:instrText xml:space="preserve"> PAGEREF _Toc496019846 \h </w:instrText>
        </w:r>
        <w:r w:rsidR="00C95C0B">
          <w:rPr>
            <w:noProof/>
            <w:webHidden/>
          </w:rPr>
        </w:r>
        <w:r w:rsidR="00C95C0B">
          <w:rPr>
            <w:noProof/>
            <w:webHidden/>
          </w:rPr>
          <w:fldChar w:fldCharType="separate"/>
        </w:r>
        <w:r w:rsidR="00C95C0B">
          <w:rPr>
            <w:noProof/>
            <w:webHidden/>
          </w:rPr>
          <w:t>55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7" w:history="1">
        <w:r w:rsidR="00C95C0B" w:rsidRPr="00E54D16">
          <w:rPr>
            <w:rStyle w:val="Hyperlink"/>
            <w:noProof/>
          </w:rPr>
          <w:t>Aboriginal Children and Families Strategic Action Plan</w:t>
        </w:r>
        <w:r w:rsidR="00C95C0B">
          <w:rPr>
            <w:noProof/>
            <w:webHidden/>
          </w:rPr>
          <w:tab/>
        </w:r>
        <w:r w:rsidR="00C95C0B">
          <w:rPr>
            <w:noProof/>
            <w:webHidden/>
          </w:rPr>
          <w:fldChar w:fldCharType="begin"/>
        </w:r>
        <w:r w:rsidR="00C95C0B">
          <w:rPr>
            <w:noProof/>
            <w:webHidden/>
          </w:rPr>
          <w:instrText xml:space="preserve"> PAGEREF _Toc496019847 \h </w:instrText>
        </w:r>
        <w:r w:rsidR="00C95C0B">
          <w:rPr>
            <w:noProof/>
            <w:webHidden/>
          </w:rPr>
        </w:r>
        <w:r w:rsidR="00C95C0B">
          <w:rPr>
            <w:noProof/>
            <w:webHidden/>
          </w:rPr>
          <w:fldChar w:fldCharType="separate"/>
        </w:r>
        <w:r w:rsidR="00C95C0B">
          <w:rPr>
            <w:noProof/>
            <w:webHidden/>
          </w:rPr>
          <w:t>55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8" w:history="1">
        <w:r w:rsidR="00C95C0B" w:rsidRPr="00E54D16">
          <w:rPr>
            <w:rStyle w:val="Hyperlink"/>
            <w:noProof/>
          </w:rPr>
          <w:t>Transferring parental responsibility for Aboriginal children from government to community</w:t>
        </w:r>
        <w:r w:rsidR="00C95C0B">
          <w:rPr>
            <w:noProof/>
            <w:webHidden/>
          </w:rPr>
          <w:tab/>
        </w:r>
        <w:r w:rsidR="00C95C0B">
          <w:rPr>
            <w:noProof/>
            <w:webHidden/>
          </w:rPr>
          <w:fldChar w:fldCharType="begin"/>
        </w:r>
        <w:r w:rsidR="00C95C0B">
          <w:rPr>
            <w:noProof/>
            <w:webHidden/>
          </w:rPr>
          <w:instrText xml:space="preserve"> PAGEREF _Toc496019848 \h </w:instrText>
        </w:r>
        <w:r w:rsidR="00C95C0B">
          <w:rPr>
            <w:noProof/>
            <w:webHidden/>
          </w:rPr>
        </w:r>
        <w:r w:rsidR="00C95C0B">
          <w:rPr>
            <w:noProof/>
            <w:webHidden/>
          </w:rPr>
          <w:fldChar w:fldCharType="separate"/>
        </w:r>
        <w:r w:rsidR="00C95C0B">
          <w:rPr>
            <w:noProof/>
            <w:webHidden/>
          </w:rPr>
          <w:t>55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49" w:history="1">
        <w:r w:rsidR="00C95C0B" w:rsidRPr="00E54D16">
          <w:rPr>
            <w:rStyle w:val="Hyperlink"/>
            <w:noProof/>
          </w:rPr>
          <w:t>Transitioning Aboriginal children’s cases to ACCOs</w:t>
        </w:r>
        <w:r w:rsidR="00C95C0B">
          <w:rPr>
            <w:noProof/>
            <w:webHidden/>
          </w:rPr>
          <w:tab/>
        </w:r>
        <w:r w:rsidR="00C95C0B">
          <w:rPr>
            <w:noProof/>
            <w:webHidden/>
          </w:rPr>
          <w:fldChar w:fldCharType="begin"/>
        </w:r>
        <w:r w:rsidR="00C95C0B">
          <w:rPr>
            <w:noProof/>
            <w:webHidden/>
          </w:rPr>
          <w:instrText xml:space="preserve"> PAGEREF _Toc496019849 \h </w:instrText>
        </w:r>
        <w:r w:rsidR="00C95C0B">
          <w:rPr>
            <w:noProof/>
            <w:webHidden/>
          </w:rPr>
        </w:r>
        <w:r w:rsidR="00C95C0B">
          <w:rPr>
            <w:noProof/>
            <w:webHidden/>
          </w:rPr>
          <w:fldChar w:fldCharType="separate"/>
        </w:r>
        <w:r w:rsidR="00C95C0B">
          <w:rPr>
            <w:noProof/>
            <w:webHidden/>
          </w:rPr>
          <w:t>56</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50" w:history="1">
        <w:r w:rsidR="00C95C0B" w:rsidRPr="00E54D16">
          <w:rPr>
            <w:rStyle w:val="Hyperlink"/>
            <w:noProof/>
          </w:rPr>
          <w:t>Aboriginal Justice Forum</w:t>
        </w:r>
        <w:r w:rsidR="00C95C0B">
          <w:rPr>
            <w:noProof/>
            <w:webHidden/>
          </w:rPr>
          <w:tab/>
        </w:r>
        <w:r w:rsidR="00C95C0B">
          <w:rPr>
            <w:noProof/>
            <w:webHidden/>
          </w:rPr>
          <w:fldChar w:fldCharType="begin"/>
        </w:r>
        <w:r w:rsidR="00C95C0B">
          <w:rPr>
            <w:noProof/>
            <w:webHidden/>
          </w:rPr>
          <w:instrText xml:space="preserve"> PAGEREF _Toc496019850 \h </w:instrText>
        </w:r>
        <w:r w:rsidR="00C95C0B">
          <w:rPr>
            <w:noProof/>
            <w:webHidden/>
          </w:rPr>
        </w:r>
        <w:r w:rsidR="00C95C0B">
          <w:rPr>
            <w:noProof/>
            <w:webHidden/>
          </w:rPr>
          <w:fldChar w:fldCharType="separate"/>
        </w:r>
        <w:r w:rsidR="00C95C0B">
          <w:rPr>
            <w:noProof/>
            <w:webHidden/>
          </w:rPr>
          <w:t>56</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51" w:history="1">
        <w:r w:rsidR="00C95C0B" w:rsidRPr="00E54D16">
          <w:rPr>
            <w:rStyle w:val="Hyperlink"/>
            <w:noProof/>
          </w:rPr>
          <w:t>Phase 4 of the Aboriginal Justice Agreement</w:t>
        </w:r>
        <w:r w:rsidR="00C95C0B">
          <w:rPr>
            <w:noProof/>
            <w:webHidden/>
          </w:rPr>
          <w:tab/>
        </w:r>
        <w:r w:rsidR="00C95C0B">
          <w:rPr>
            <w:noProof/>
            <w:webHidden/>
          </w:rPr>
          <w:fldChar w:fldCharType="begin"/>
        </w:r>
        <w:r w:rsidR="00C95C0B">
          <w:rPr>
            <w:noProof/>
            <w:webHidden/>
          </w:rPr>
          <w:instrText xml:space="preserve"> PAGEREF _Toc496019851 \h </w:instrText>
        </w:r>
        <w:r w:rsidR="00C95C0B">
          <w:rPr>
            <w:noProof/>
            <w:webHidden/>
          </w:rPr>
        </w:r>
        <w:r w:rsidR="00C95C0B">
          <w:rPr>
            <w:noProof/>
            <w:webHidden/>
          </w:rPr>
          <w:fldChar w:fldCharType="separate"/>
        </w:r>
        <w:r w:rsidR="00C95C0B">
          <w:rPr>
            <w:noProof/>
            <w:webHidden/>
          </w:rPr>
          <w:t>57</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52" w:history="1">
        <w:r w:rsidR="00C95C0B" w:rsidRPr="00E54D16">
          <w:rPr>
            <w:rStyle w:val="Hyperlink"/>
            <w:noProof/>
          </w:rPr>
          <w:t>Aboriginal Inclusion Action Plan</w:t>
        </w:r>
        <w:r w:rsidR="00C95C0B">
          <w:rPr>
            <w:noProof/>
            <w:webHidden/>
          </w:rPr>
          <w:tab/>
        </w:r>
        <w:r w:rsidR="00C95C0B">
          <w:rPr>
            <w:noProof/>
            <w:webHidden/>
          </w:rPr>
          <w:fldChar w:fldCharType="begin"/>
        </w:r>
        <w:r w:rsidR="00C95C0B">
          <w:rPr>
            <w:noProof/>
            <w:webHidden/>
          </w:rPr>
          <w:instrText xml:space="preserve"> PAGEREF _Toc496019852 \h </w:instrText>
        </w:r>
        <w:r w:rsidR="00C95C0B">
          <w:rPr>
            <w:noProof/>
            <w:webHidden/>
          </w:rPr>
        </w:r>
        <w:r w:rsidR="00C95C0B">
          <w:rPr>
            <w:noProof/>
            <w:webHidden/>
          </w:rPr>
          <w:fldChar w:fldCharType="separate"/>
        </w:r>
        <w:r w:rsidR="00C95C0B">
          <w:rPr>
            <w:noProof/>
            <w:webHidden/>
          </w:rPr>
          <w:t>57</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53" w:history="1">
        <w:r w:rsidR="00C95C0B" w:rsidRPr="00E54D16">
          <w:rPr>
            <w:rStyle w:val="Hyperlink"/>
            <w:noProof/>
          </w:rPr>
          <w:t>Cultural safety training</w:t>
        </w:r>
        <w:r w:rsidR="00C95C0B">
          <w:rPr>
            <w:noProof/>
            <w:webHidden/>
          </w:rPr>
          <w:tab/>
        </w:r>
        <w:r w:rsidR="00C95C0B">
          <w:rPr>
            <w:noProof/>
            <w:webHidden/>
          </w:rPr>
          <w:fldChar w:fldCharType="begin"/>
        </w:r>
        <w:r w:rsidR="00C95C0B">
          <w:rPr>
            <w:noProof/>
            <w:webHidden/>
          </w:rPr>
          <w:instrText xml:space="preserve"> PAGEREF _Toc496019853 \h </w:instrText>
        </w:r>
        <w:r w:rsidR="00C95C0B">
          <w:rPr>
            <w:noProof/>
            <w:webHidden/>
          </w:rPr>
        </w:r>
        <w:r w:rsidR="00C95C0B">
          <w:rPr>
            <w:noProof/>
            <w:webHidden/>
          </w:rPr>
          <w:fldChar w:fldCharType="separate"/>
        </w:r>
        <w:r w:rsidR="00C95C0B">
          <w:rPr>
            <w:noProof/>
            <w:webHidden/>
          </w:rPr>
          <w:t>57</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54" w:history="1">
        <w:r w:rsidR="00C95C0B" w:rsidRPr="00E54D16">
          <w:rPr>
            <w:rStyle w:val="Hyperlink"/>
            <w:noProof/>
          </w:rPr>
          <w:t>Financial summary</w:t>
        </w:r>
        <w:r w:rsidR="00C95C0B">
          <w:rPr>
            <w:noProof/>
            <w:webHidden/>
          </w:rPr>
          <w:tab/>
        </w:r>
        <w:r w:rsidR="00C95C0B">
          <w:rPr>
            <w:noProof/>
            <w:webHidden/>
          </w:rPr>
          <w:fldChar w:fldCharType="begin"/>
        </w:r>
        <w:r w:rsidR="00C95C0B">
          <w:rPr>
            <w:noProof/>
            <w:webHidden/>
          </w:rPr>
          <w:instrText xml:space="preserve"> PAGEREF _Toc496019854 \h </w:instrText>
        </w:r>
        <w:r w:rsidR="00C95C0B">
          <w:rPr>
            <w:noProof/>
            <w:webHidden/>
          </w:rPr>
        </w:r>
        <w:r w:rsidR="00C95C0B">
          <w:rPr>
            <w:noProof/>
            <w:webHidden/>
          </w:rPr>
          <w:fldChar w:fldCharType="separate"/>
        </w:r>
        <w:r w:rsidR="00C95C0B">
          <w:rPr>
            <w:noProof/>
            <w:webHidden/>
          </w:rPr>
          <w:t>59</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55" w:history="1">
        <w:r w:rsidR="00C95C0B" w:rsidRPr="00E54D16">
          <w:rPr>
            <w:rStyle w:val="Hyperlink"/>
            <w:noProof/>
          </w:rPr>
          <w:t>Appendix 1. Disclosure index</w:t>
        </w:r>
        <w:r w:rsidR="00C95C0B">
          <w:rPr>
            <w:noProof/>
            <w:webHidden/>
          </w:rPr>
          <w:tab/>
        </w:r>
        <w:r w:rsidR="00C95C0B">
          <w:rPr>
            <w:noProof/>
            <w:webHidden/>
          </w:rPr>
          <w:fldChar w:fldCharType="begin"/>
        </w:r>
        <w:r w:rsidR="00C95C0B">
          <w:rPr>
            <w:noProof/>
            <w:webHidden/>
          </w:rPr>
          <w:instrText xml:space="preserve"> PAGEREF _Toc496019855 \h </w:instrText>
        </w:r>
        <w:r w:rsidR="00C95C0B">
          <w:rPr>
            <w:noProof/>
            <w:webHidden/>
          </w:rPr>
        </w:r>
        <w:r w:rsidR="00C95C0B">
          <w:rPr>
            <w:noProof/>
            <w:webHidden/>
          </w:rPr>
          <w:fldChar w:fldCharType="separate"/>
        </w:r>
        <w:r w:rsidR="00C95C0B">
          <w:rPr>
            <w:noProof/>
            <w:webHidden/>
          </w:rPr>
          <w:t>60</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56" w:history="1">
        <w:r w:rsidR="00C95C0B" w:rsidRPr="00E54D16">
          <w:rPr>
            <w:rStyle w:val="Hyperlink"/>
            <w:noProof/>
          </w:rPr>
          <w:t>Appendix 2. Governance and organisational structure</w:t>
        </w:r>
        <w:r w:rsidR="00C95C0B">
          <w:rPr>
            <w:noProof/>
            <w:webHidden/>
          </w:rPr>
          <w:tab/>
        </w:r>
        <w:r w:rsidR="00C95C0B">
          <w:rPr>
            <w:noProof/>
            <w:webHidden/>
          </w:rPr>
          <w:fldChar w:fldCharType="begin"/>
        </w:r>
        <w:r w:rsidR="00C95C0B">
          <w:rPr>
            <w:noProof/>
            <w:webHidden/>
          </w:rPr>
          <w:instrText xml:space="preserve"> PAGEREF _Toc496019856 \h </w:instrText>
        </w:r>
        <w:r w:rsidR="00C95C0B">
          <w:rPr>
            <w:noProof/>
            <w:webHidden/>
          </w:rPr>
        </w:r>
        <w:r w:rsidR="00C95C0B">
          <w:rPr>
            <w:noProof/>
            <w:webHidden/>
          </w:rPr>
          <w:fldChar w:fldCharType="separate"/>
        </w:r>
        <w:r w:rsidR="00C95C0B">
          <w:rPr>
            <w:noProof/>
            <w:webHidden/>
          </w:rPr>
          <w:t>62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57" w:history="1">
        <w:r w:rsidR="00C95C0B" w:rsidRPr="00E54D16">
          <w:rPr>
            <w:rStyle w:val="Hyperlink"/>
            <w:noProof/>
          </w:rPr>
          <w:t>The Commissioners</w:t>
        </w:r>
        <w:r w:rsidR="00C95C0B">
          <w:rPr>
            <w:noProof/>
            <w:webHidden/>
          </w:rPr>
          <w:tab/>
        </w:r>
        <w:r w:rsidR="00C95C0B">
          <w:rPr>
            <w:noProof/>
            <w:webHidden/>
          </w:rPr>
          <w:fldChar w:fldCharType="begin"/>
        </w:r>
        <w:r w:rsidR="00C95C0B">
          <w:rPr>
            <w:noProof/>
            <w:webHidden/>
          </w:rPr>
          <w:instrText xml:space="preserve"> PAGEREF _Toc496019857 \h </w:instrText>
        </w:r>
        <w:r w:rsidR="00C95C0B">
          <w:rPr>
            <w:noProof/>
            <w:webHidden/>
          </w:rPr>
        </w:r>
        <w:r w:rsidR="00C95C0B">
          <w:rPr>
            <w:noProof/>
            <w:webHidden/>
          </w:rPr>
          <w:fldChar w:fldCharType="separate"/>
        </w:r>
        <w:r w:rsidR="00C95C0B">
          <w:rPr>
            <w:noProof/>
            <w:webHidden/>
          </w:rPr>
          <w:t>62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58" w:history="1">
        <w:r w:rsidR="00C95C0B" w:rsidRPr="00E54D16">
          <w:rPr>
            <w:rStyle w:val="Hyperlink"/>
            <w:noProof/>
          </w:rPr>
          <w:t>Executive officers</w:t>
        </w:r>
        <w:r w:rsidR="00C95C0B">
          <w:rPr>
            <w:noProof/>
            <w:webHidden/>
          </w:rPr>
          <w:tab/>
        </w:r>
        <w:r w:rsidR="00C95C0B">
          <w:rPr>
            <w:noProof/>
            <w:webHidden/>
          </w:rPr>
          <w:fldChar w:fldCharType="begin"/>
        </w:r>
        <w:r w:rsidR="00C95C0B">
          <w:rPr>
            <w:noProof/>
            <w:webHidden/>
          </w:rPr>
          <w:instrText xml:space="preserve"> PAGEREF _Toc496019858 \h </w:instrText>
        </w:r>
        <w:r w:rsidR="00C95C0B">
          <w:rPr>
            <w:noProof/>
            <w:webHidden/>
          </w:rPr>
        </w:r>
        <w:r w:rsidR="00C95C0B">
          <w:rPr>
            <w:noProof/>
            <w:webHidden/>
          </w:rPr>
          <w:fldChar w:fldCharType="separate"/>
        </w:r>
        <w:r w:rsidR="00C95C0B">
          <w:rPr>
            <w:noProof/>
            <w:webHidden/>
          </w:rPr>
          <w:t>62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59" w:history="1">
        <w:r w:rsidR="00C95C0B" w:rsidRPr="00E54D16">
          <w:rPr>
            <w:rStyle w:val="Hyperlink"/>
            <w:noProof/>
          </w:rPr>
          <w:t>Organisational structure as at 30 June 2017</w:t>
        </w:r>
        <w:r w:rsidR="00C95C0B">
          <w:rPr>
            <w:noProof/>
            <w:webHidden/>
          </w:rPr>
          <w:tab/>
        </w:r>
        <w:r w:rsidR="00C95C0B">
          <w:rPr>
            <w:noProof/>
            <w:webHidden/>
          </w:rPr>
          <w:fldChar w:fldCharType="begin"/>
        </w:r>
        <w:r w:rsidR="00C95C0B">
          <w:rPr>
            <w:noProof/>
            <w:webHidden/>
          </w:rPr>
          <w:instrText xml:space="preserve"> PAGEREF _Toc496019859 \h </w:instrText>
        </w:r>
        <w:r w:rsidR="00C95C0B">
          <w:rPr>
            <w:noProof/>
            <w:webHidden/>
          </w:rPr>
        </w:r>
        <w:r w:rsidR="00C95C0B">
          <w:rPr>
            <w:noProof/>
            <w:webHidden/>
          </w:rPr>
          <w:fldChar w:fldCharType="separate"/>
        </w:r>
        <w:r w:rsidR="00C95C0B">
          <w:rPr>
            <w:noProof/>
            <w:webHidden/>
          </w:rPr>
          <w:t>62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60" w:history="1">
        <w:r w:rsidR="00C95C0B" w:rsidRPr="00E54D16">
          <w:rPr>
            <w:rStyle w:val="Hyperlink"/>
            <w:noProof/>
          </w:rPr>
          <w:t>Audit and Risk Committee membership and roles</w:t>
        </w:r>
        <w:r w:rsidR="00C95C0B">
          <w:rPr>
            <w:noProof/>
            <w:webHidden/>
          </w:rPr>
          <w:tab/>
        </w:r>
        <w:r w:rsidR="00C95C0B">
          <w:rPr>
            <w:noProof/>
            <w:webHidden/>
          </w:rPr>
          <w:fldChar w:fldCharType="begin"/>
        </w:r>
        <w:r w:rsidR="00C95C0B">
          <w:rPr>
            <w:noProof/>
            <w:webHidden/>
          </w:rPr>
          <w:instrText xml:space="preserve"> PAGEREF _Toc496019860 \h </w:instrText>
        </w:r>
        <w:r w:rsidR="00C95C0B">
          <w:rPr>
            <w:noProof/>
            <w:webHidden/>
          </w:rPr>
        </w:r>
        <w:r w:rsidR="00C95C0B">
          <w:rPr>
            <w:noProof/>
            <w:webHidden/>
          </w:rPr>
          <w:fldChar w:fldCharType="separate"/>
        </w:r>
        <w:r w:rsidR="00C95C0B">
          <w:rPr>
            <w:noProof/>
            <w:webHidden/>
          </w:rPr>
          <w:t>62</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61" w:history="1">
        <w:r w:rsidR="00C95C0B" w:rsidRPr="00E54D16">
          <w:rPr>
            <w:rStyle w:val="Hyperlink"/>
            <w:noProof/>
          </w:rPr>
          <w:t>Occupational health and safety</w:t>
        </w:r>
        <w:r w:rsidR="00C95C0B">
          <w:rPr>
            <w:noProof/>
            <w:webHidden/>
          </w:rPr>
          <w:tab/>
        </w:r>
        <w:r w:rsidR="00C95C0B">
          <w:rPr>
            <w:noProof/>
            <w:webHidden/>
          </w:rPr>
          <w:fldChar w:fldCharType="begin"/>
        </w:r>
        <w:r w:rsidR="00C95C0B">
          <w:rPr>
            <w:noProof/>
            <w:webHidden/>
          </w:rPr>
          <w:instrText xml:space="preserve"> PAGEREF _Toc496019861 \h </w:instrText>
        </w:r>
        <w:r w:rsidR="00C95C0B">
          <w:rPr>
            <w:noProof/>
            <w:webHidden/>
          </w:rPr>
        </w:r>
        <w:r w:rsidR="00C95C0B">
          <w:rPr>
            <w:noProof/>
            <w:webHidden/>
          </w:rPr>
          <w:fldChar w:fldCharType="separate"/>
        </w:r>
        <w:r w:rsidR="00C95C0B">
          <w:rPr>
            <w:noProof/>
            <w:webHidden/>
          </w:rPr>
          <w:t>63</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62" w:history="1">
        <w:r w:rsidR="00C95C0B" w:rsidRPr="00E54D16">
          <w:rPr>
            <w:rStyle w:val="Hyperlink"/>
            <w:noProof/>
          </w:rPr>
          <w:t>Employment and conduct principles</w:t>
        </w:r>
        <w:r w:rsidR="00C95C0B">
          <w:rPr>
            <w:noProof/>
            <w:webHidden/>
          </w:rPr>
          <w:tab/>
        </w:r>
        <w:r w:rsidR="00C95C0B">
          <w:rPr>
            <w:noProof/>
            <w:webHidden/>
          </w:rPr>
          <w:fldChar w:fldCharType="begin"/>
        </w:r>
        <w:r w:rsidR="00C95C0B">
          <w:rPr>
            <w:noProof/>
            <w:webHidden/>
          </w:rPr>
          <w:instrText xml:space="preserve"> PAGEREF _Toc496019862 \h </w:instrText>
        </w:r>
        <w:r w:rsidR="00C95C0B">
          <w:rPr>
            <w:noProof/>
            <w:webHidden/>
          </w:rPr>
        </w:r>
        <w:r w:rsidR="00C95C0B">
          <w:rPr>
            <w:noProof/>
            <w:webHidden/>
          </w:rPr>
          <w:fldChar w:fldCharType="separate"/>
        </w:r>
        <w:r w:rsidR="00C95C0B">
          <w:rPr>
            <w:noProof/>
            <w:webHidden/>
          </w:rPr>
          <w:t>63</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63" w:history="1">
        <w:r w:rsidR="00C95C0B" w:rsidRPr="00E54D16">
          <w:rPr>
            <w:rStyle w:val="Hyperlink"/>
            <w:noProof/>
          </w:rPr>
          <w:t>Appendix 3. Workforce data</w:t>
        </w:r>
        <w:r w:rsidR="00C95C0B">
          <w:rPr>
            <w:noProof/>
            <w:webHidden/>
          </w:rPr>
          <w:tab/>
        </w:r>
        <w:r w:rsidR="00C95C0B">
          <w:rPr>
            <w:noProof/>
            <w:webHidden/>
          </w:rPr>
          <w:fldChar w:fldCharType="begin"/>
        </w:r>
        <w:r w:rsidR="00C95C0B">
          <w:rPr>
            <w:noProof/>
            <w:webHidden/>
          </w:rPr>
          <w:instrText xml:space="preserve"> PAGEREF _Toc496019863 \h </w:instrText>
        </w:r>
        <w:r w:rsidR="00C95C0B">
          <w:rPr>
            <w:noProof/>
            <w:webHidden/>
          </w:rPr>
        </w:r>
        <w:r w:rsidR="00C95C0B">
          <w:rPr>
            <w:noProof/>
            <w:webHidden/>
          </w:rPr>
          <w:fldChar w:fldCharType="separate"/>
        </w:r>
        <w:r w:rsidR="00C95C0B">
          <w:rPr>
            <w:noProof/>
            <w:webHidden/>
          </w:rPr>
          <w:t>65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64" w:history="1">
        <w:r w:rsidR="00C95C0B" w:rsidRPr="00E54D16">
          <w:rPr>
            <w:rStyle w:val="Hyperlink"/>
            <w:noProof/>
          </w:rPr>
          <w:t>Public sector values and employment principles</w:t>
        </w:r>
        <w:r w:rsidR="00C95C0B">
          <w:rPr>
            <w:noProof/>
            <w:webHidden/>
          </w:rPr>
          <w:tab/>
        </w:r>
        <w:r w:rsidR="00C95C0B">
          <w:rPr>
            <w:noProof/>
            <w:webHidden/>
          </w:rPr>
          <w:fldChar w:fldCharType="begin"/>
        </w:r>
        <w:r w:rsidR="00C95C0B">
          <w:rPr>
            <w:noProof/>
            <w:webHidden/>
          </w:rPr>
          <w:instrText xml:space="preserve"> PAGEREF _Toc496019864 \h </w:instrText>
        </w:r>
        <w:r w:rsidR="00C95C0B">
          <w:rPr>
            <w:noProof/>
            <w:webHidden/>
          </w:rPr>
        </w:r>
        <w:r w:rsidR="00C95C0B">
          <w:rPr>
            <w:noProof/>
            <w:webHidden/>
          </w:rPr>
          <w:fldChar w:fldCharType="separate"/>
        </w:r>
        <w:r w:rsidR="00C95C0B">
          <w:rPr>
            <w:noProof/>
            <w:webHidden/>
          </w:rPr>
          <w:t>65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65" w:history="1">
        <w:r w:rsidR="00C95C0B" w:rsidRPr="00E54D16">
          <w:rPr>
            <w:rStyle w:val="Hyperlink"/>
            <w:noProof/>
          </w:rPr>
          <w:t>Comparative workforce data</w:t>
        </w:r>
        <w:r w:rsidR="00C95C0B">
          <w:rPr>
            <w:noProof/>
            <w:webHidden/>
          </w:rPr>
          <w:tab/>
        </w:r>
        <w:r w:rsidR="00C95C0B">
          <w:rPr>
            <w:noProof/>
            <w:webHidden/>
          </w:rPr>
          <w:fldChar w:fldCharType="begin"/>
        </w:r>
        <w:r w:rsidR="00C95C0B">
          <w:rPr>
            <w:noProof/>
            <w:webHidden/>
          </w:rPr>
          <w:instrText xml:space="preserve"> PAGEREF _Toc496019865 \h </w:instrText>
        </w:r>
        <w:r w:rsidR="00C95C0B">
          <w:rPr>
            <w:noProof/>
            <w:webHidden/>
          </w:rPr>
        </w:r>
        <w:r w:rsidR="00C95C0B">
          <w:rPr>
            <w:noProof/>
            <w:webHidden/>
          </w:rPr>
          <w:fldChar w:fldCharType="separate"/>
        </w:r>
        <w:r w:rsidR="00C95C0B">
          <w:rPr>
            <w:noProof/>
            <w:webHidden/>
          </w:rPr>
          <w:t>65</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66" w:history="1">
        <w:r w:rsidR="00C95C0B" w:rsidRPr="00E54D16">
          <w:rPr>
            <w:rStyle w:val="Hyperlink"/>
            <w:noProof/>
          </w:rPr>
          <w:t>Executives and other non-executive senior staff</w:t>
        </w:r>
        <w:r w:rsidR="00C95C0B">
          <w:rPr>
            <w:noProof/>
            <w:webHidden/>
          </w:rPr>
          <w:tab/>
        </w:r>
        <w:r w:rsidR="00C95C0B">
          <w:rPr>
            <w:noProof/>
            <w:webHidden/>
          </w:rPr>
          <w:fldChar w:fldCharType="begin"/>
        </w:r>
        <w:r w:rsidR="00C95C0B">
          <w:rPr>
            <w:noProof/>
            <w:webHidden/>
          </w:rPr>
          <w:instrText xml:space="preserve"> PAGEREF _Toc496019866 \h </w:instrText>
        </w:r>
        <w:r w:rsidR="00C95C0B">
          <w:rPr>
            <w:noProof/>
            <w:webHidden/>
          </w:rPr>
        </w:r>
        <w:r w:rsidR="00C95C0B">
          <w:rPr>
            <w:noProof/>
            <w:webHidden/>
          </w:rPr>
          <w:fldChar w:fldCharType="separate"/>
        </w:r>
        <w:r w:rsidR="00C95C0B">
          <w:rPr>
            <w:noProof/>
            <w:webHidden/>
          </w:rPr>
          <w:t>67</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67" w:history="1">
        <w:r w:rsidR="00C95C0B" w:rsidRPr="00E54D16">
          <w:rPr>
            <w:rStyle w:val="Hyperlink"/>
            <w:noProof/>
          </w:rPr>
          <w:t>Executive officer data</w:t>
        </w:r>
        <w:r w:rsidR="00C95C0B">
          <w:rPr>
            <w:noProof/>
            <w:webHidden/>
          </w:rPr>
          <w:tab/>
        </w:r>
        <w:r w:rsidR="00C95C0B">
          <w:rPr>
            <w:noProof/>
            <w:webHidden/>
          </w:rPr>
          <w:fldChar w:fldCharType="begin"/>
        </w:r>
        <w:r w:rsidR="00C95C0B">
          <w:rPr>
            <w:noProof/>
            <w:webHidden/>
          </w:rPr>
          <w:instrText xml:space="preserve"> PAGEREF _Toc496019867 \h </w:instrText>
        </w:r>
        <w:r w:rsidR="00C95C0B">
          <w:rPr>
            <w:noProof/>
            <w:webHidden/>
          </w:rPr>
        </w:r>
        <w:r w:rsidR="00C95C0B">
          <w:rPr>
            <w:noProof/>
            <w:webHidden/>
          </w:rPr>
          <w:fldChar w:fldCharType="separate"/>
        </w:r>
        <w:r w:rsidR="00C95C0B">
          <w:rPr>
            <w:noProof/>
            <w:webHidden/>
          </w:rPr>
          <w:t>67</w:t>
        </w:r>
        <w:r w:rsidR="00C95C0B">
          <w:rPr>
            <w:noProof/>
            <w:webHidden/>
          </w:rPr>
          <w:fldChar w:fldCharType="end"/>
        </w:r>
      </w:hyperlink>
    </w:p>
    <w:p w:rsidR="00C95C0B" w:rsidRDefault="00C522E6">
      <w:pPr>
        <w:pStyle w:val="TOC1"/>
        <w:tabs>
          <w:tab w:val="right" w:leader="dot" w:pos="9064"/>
        </w:tabs>
        <w:rPr>
          <w:rFonts w:asciiTheme="minorHAnsi" w:eastAsiaTheme="minorEastAsia" w:hAnsiTheme="minorHAnsi" w:cstheme="minorBidi"/>
          <w:noProof/>
          <w:sz w:val="22"/>
          <w:szCs w:val="22"/>
          <w:lang w:val="en-AU" w:eastAsia="en-AU"/>
        </w:rPr>
      </w:pPr>
      <w:hyperlink w:anchor="_Toc496019868" w:history="1">
        <w:r w:rsidR="00C95C0B" w:rsidRPr="00E54D16">
          <w:rPr>
            <w:rStyle w:val="Hyperlink"/>
            <w:noProof/>
          </w:rPr>
          <w:t>Appendix 4. Other disclosures</w:t>
        </w:r>
        <w:r w:rsidR="00C95C0B">
          <w:rPr>
            <w:noProof/>
            <w:webHidden/>
          </w:rPr>
          <w:tab/>
        </w:r>
        <w:r w:rsidR="00C95C0B">
          <w:rPr>
            <w:noProof/>
            <w:webHidden/>
          </w:rPr>
          <w:fldChar w:fldCharType="begin"/>
        </w:r>
        <w:r w:rsidR="00C95C0B">
          <w:rPr>
            <w:noProof/>
            <w:webHidden/>
          </w:rPr>
          <w:instrText xml:space="preserve"> PAGEREF _Toc496019868 \h </w:instrText>
        </w:r>
        <w:r w:rsidR="00C95C0B">
          <w:rPr>
            <w:noProof/>
            <w:webHidden/>
          </w:rPr>
        </w:r>
        <w:r w:rsidR="00C95C0B">
          <w:rPr>
            <w:noProof/>
            <w:webHidden/>
          </w:rPr>
          <w:fldChar w:fldCharType="separate"/>
        </w:r>
        <w:r w:rsidR="00C95C0B">
          <w:rPr>
            <w:noProof/>
            <w:webHidden/>
          </w:rPr>
          <w:t>68</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69" w:history="1">
        <w:r w:rsidR="00C95C0B" w:rsidRPr="00E54D16">
          <w:rPr>
            <w:rStyle w:val="Hyperlink"/>
            <w:noProof/>
          </w:rPr>
          <w:t>Local jobs first – Victorian Industry Participation Policy</w:t>
        </w:r>
        <w:r w:rsidR="00C95C0B">
          <w:rPr>
            <w:noProof/>
            <w:webHidden/>
          </w:rPr>
          <w:tab/>
        </w:r>
        <w:r w:rsidR="00C95C0B">
          <w:rPr>
            <w:noProof/>
            <w:webHidden/>
          </w:rPr>
          <w:fldChar w:fldCharType="begin"/>
        </w:r>
        <w:r w:rsidR="00C95C0B">
          <w:rPr>
            <w:noProof/>
            <w:webHidden/>
          </w:rPr>
          <w:instrText xml:space="preserve"> PAGEREF _Toc496019869 \h </w:instrText>
        </w:r>
        <w:r w:rsidR="00C95C0B">
          <w:rPr>
            <w:noProof/>
            <w:webHidden/>
          </w:rPr>
        </w:r>
        <w:r w:rsidR="00C95C0B">
          <w:rPr>
            <w:noProof/>
            <w:webHidden/>
          </w:rPr>
          <w:fldChar w:fldCharType="separate"/>
        </w:r>
        <w:r w:rsidR="00C95C0B">
          <w:rPr>
            <w:noProof/>
            <w:webHidden/>
          </w:rPr>
          <w:t>68</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0" w:history="1">
        <w:r w:rsidR="00C95C0B" w:rsidRPr="00E54D16">
          <w:rPr>
            <w:rStyle w:val="Hyperlink"/>
            <w:noProof/>
          </w:rPr>
          <w:t>Advertising expenditure</w:t>
        </w:r>
        <w:r w:rsidR="00C95C0B">
          <w:rPr>
            <w:noProof/>
            <w:webHidden/>
          </w:rPr>
          <w:tab/>
        </w:r>
        <w:r w:rsidR="00C95C0B">
          <w:rPr>
            <w:noProof/>
            <w:webHidden/>
          </w:rPr>
          <w:fldChar w:fldCharType="begin"/>
        </w:r>
        <w:r w:rsidR="00C95C0B">
          <w:rPr>
            <w:noProof/>
            <w:webHidden/>
          </w:rPr>
          <w:instrText xml:space="preserve"> PAGEREF _Toc496019870 \h </w:instrText>
        </w:r>
        <w:r w:rsidR="00C95C0B">
          <w:rPr>
            <w:noProof/>
            <w:webHidden/>
          </w:rPr>
        </w:r>
        <w:r w:rsidR="00C95C0B">
          <w:rPr>
            <w:noProof/>
            <w:webHidden/>
          </w:rPr>
          <w:fldChar w:fldCharType="separate"/>
        </w:r>
        <w:r w:rsidR="00C95C0B">
          <w:rPr>
            <w:noProof/>
            <w:webHidden/>
          </w:rPr>
          <w:t>68</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1" w:history="1">
        <w:r w:rsidR="00C95C0B" w:rsidRPr="00E54D16">
          <w:rPr>
            <w:rStyle w:val="Hyperlink"/>
            <w:noProof/>
          </w:rPr>
          <w:t>Consultancy expenditure</w:t>
        </w:r>
        <w:r w:rsidR="00C95C0B">
          <w:rPr>
            <w:noProof/>
            <w:webHidden/>
          </w:rPr>
          <w:tab/>
        </w:r>
        <w:r w:rsidR="00C95C0B">
          <w:rPr>
            <w:noProof/>
            <w:webHidden/>
          </w:rPr>
          <w:fldChar w:fldCharType="begin"/>
        </w:r>
        <w:r w:rsidR="00C95C0B">
          <w:rPr>
            <w:noProof/>
            <w:webHidden/>
          </w:rPr>
          <w:instrText xml:space="preserve"> PAGEREF _Toc496019871 \h </w:instrText>
        </w:r>
        <w:r w:rsidR="00C95C0B">
          <w:rPr>
            <w:noProof/>
            <w:webHidden/>
          </w:rPr>
        </w:r>
        <w:r w:rsidR="00C95C0B">
          <w:rPr>
            <w:noProof/>
            <w:webHidden/>
          </w:rPr>
          <w:fldChar w:fldCharType="separate"/>
        </w:r>
        <w:r w:rsidR="00C95C0B">
          <w:rPr>
            <w:noProof/>
            <w:webHidden/>
          </w:rPr>
          <w:t>68</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2" w:history="1">
        <w:r w:rsidR="00C95C0B" w:rsidRPr="00E54D16">
          <w:rPr>
            <w:rStyle w:val="Hyperlink"/>
            <w:noProof/>
          </w:rPr>
          <w:t>Disclosure of major contracts</w:t>
        </w:r>
        <w:r w:rsidR="00C95C0B">
          <w:rPr>
            <w:noProof/>
            <w:webHidden/>
          </w:rPr>
          <w:tab/>
        </w:r>
        <w:r w:rsidR="00C95C0B">
          <w:rPr>
            <w:noProof/>
            <w:webHidden/>
          </w:rPr>
          <w:fldChar w:fldCharType="begin"/>
        </w:r>
        <w:r w:rsidR="00C95C0B">
          <w:rPr>
            <w:noProof/>
            <w:webHidden/>
          </w:rPr>
          <w:instrText xml:space="preserve"> PAGEREF _Toc496019872 \h </w:instrText>
        </w:r>
        <w:r w:rsidR="00C95C0B">
          <w:rPr>
            <w:noProof/>
            <w:webHidden/>
          </w:rPr>
        </w:r>
        <w:r w:rsidR="00C95C0B">
          <w:rPr>
            <w:noProof/>
            <w:webHidden/>
          </w:rPr>
          <w:fldChar w:fldCharType="separate"/>
        </w:r>
        <w:r w:rsidR="00C95C0B">
          <w:rPr>
            <w:noProof/>
            <w:webHidden/>
          </w:rPr>
          <w:t>69</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3" w:history="1">
        <w:r w:rsidR="00C95C0B" w:rsidRPr="00E54D16">
          <w:rPr>
            <w:rStyle w:val="Hyperlink"/>
            <w:noProof/>
          </w:rPr>
          <w:t>Freedom of information</w:t>
        </w:r>
        <w:r w:rsidR="00C95C0B">
          <w:rPr>
            <w:noProof/>
            <w:webHidden/>
          </w:rPr>
          <w:tab/>
        </w:r>
        <w:r w:rsidR="00C95C0B">
          <w:rPr>
            <w:noProof/>
            <w:webHidden/>
          </w:rPr>
          <w:fldChar w:fldCharType="begin"/>
        </w:r>
        <w:r w:rsidR="00C95C0B">
          <w:rPr>
            <w:noProof/>
            <w:webHidden/>
          </w:rPr>
          <w:instrText xml:space="preserve"> PAGEREF _Toc496019873 \h </w:instrText>
        </w:r>
        <w:r w:rsidR="00C95C0B">
          <w:rPr>
            <w:noProof/>
            <w:webHidden/>
          </w:rPr>
        </w:r>
        <w:r w:rsidR="00C95C0B">
          <w:rPr>
            <w:noProof/>
            <w:webHidden/>
          </w:rPr>
          <w:fldChar w:fldCharType="separate"/>
        </w:r>
        <w:r w:rsidR="00C95C0B">
          <w:rPr>
            <w:noProof/>
            <w:webHidden/>
          </w:rPr>
          <w:t>70</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4" w:history="1">
        <w:r w:rsidR="00C95C0B" w:rsidRPr="00E54D16">
          <w:rPr>
            <w:rStyle w:val="Hyperlink"/>
            <w:noProof/>
          </w:rPr>
          <w:t>Compliance with the Building Act 1993</w:t>
        </w:r>
        <w:r w:rsidR="00C95C0B">
          <w:rPr>
            <w:noProof/>
            <w:webHidden/>
          </w:rPr>
          <w:tab/>
        </w:r>
        <w:r w:rsidR="00C95C0B">
          <w:rPr>
            <w:noProof/>
            <w:webHidden/>
          </w:rPr>
          <w:fldChar w:fldCharType="begin"/>
        </w:r>
        <w:r w:rsidR="00C95C0B">
          <w:rPr>
            <w:noProof/>
            <w:webHidden/>
          </w:rPr>
          <w:instrText xml:space="preserve"> PAGEREF _Toc496019874 \h </w:instrText>
        </w:r>
        <w:r w:rsidR="00C95C0B">
          <w:rPr>
            <w:noProof/>
            <w:webHidden/>
          </w:rPr>
        </w:r>
        <w:r w:rsidR="00C95C0B">
          <w:rPr>
            <w:noProof/>
            <w:webHidden/>
          </w:rPr>
          <w:fldChar w:fldCharType="separate"/>
        </w:r>
        <w:r w:rsidR="00C95C0B">
          <w:rPr>
            <w:noProof/>
            <w:webHidden/>
          </w:rPr>
          <w:t>70</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5" w:history="1">
        <w:r w:rsidR="00C95C0B" w:rsidRPr="00E54D16">
          <w:rPr>
            <w:rStyle w:val="Hyperlink"/>
            <w:noProof/>
          </w:rPr>
          <w:t>Compliance with the</w:t>
        </w:r>
        <w:r w:rsidR="00C95C0B" w:rsidRPr="00E54D16">
          <w:rPr>
            <w:rStyle w:val="Hyperlink"/>
            <w:noProof/>
            <w:spacing w:val="-52"/>
          </w:rPr>
          <w:t xml:space="preserve"> </w:t>
        </w:r>
        <w:r w:rsidR="00C95C0B" w:rsidRPr="00E54D16">
          <w:rPr>
            <w:rStyle w:val="Hyperlink"/>
            <w:noProof/>
          </w:rPr>
          <w:t>Protected Disclosure</w:t>
        </w:r>
        <w:r w:rsidR="00C95C0B" w:rsidRPr="00E54D16">
          <w:rPr>
            <w:rStyle w:val="Hyperlink"/>
            <w:noProof/>
            <w:spacing w:val="-51"/>
          </w:rPr>
          <w:t xml:space="preserve"> </w:t>
        </w:r>
        <w:r w:rsidR="00C95C0B" w:rsidRPr="00E54D16">
          <w:rPr>
            <w:rStyle w:val="Hyperlink"/>
            <w:noProof/>
          </w:rPr>
          <w:t>Act</w:t>
        </w:r>
        <w:r w:rsidR="00C95C0B" w:rsidRPr="00E54D16">
          <w:rPr>
            <w:rStyle w:val="Hyperlink"/>
            <w:noProof/>
            <w:spacing w:val="-51"/>
          </w:rPr>
          <w:t xml:space="preserve"> </w:t>
        </w:r>
        <w:r w:rsidR="00C95C0B" w:rsidRPr="00E54D16">
          <w:rPr>
            <w:rStyle w:val="Hyperlink"/>
            <w:noProof/>
          </w:rPr>
          <w:t>2012</w:t>
        </w:r>
        <w:r w:rsidR="00C95C0B">
          <w:rPr>
            <w:noProof/>
            <w:webHidden/>
          </w:rPr>
          <w:tab/>
        </w:r>
        <w:r w:rsidR="00C95C0B">
          <w:rPr>
            <w:noProof/>
            <w:webHidden/>
          </w:rPr>
          <w:fldChar w:fldCharType="begin"/>
        </w:r>
        <w:r w:rsidR="00C95C0B">
          <w:rPr>
            <w:noProof/>
            <w:webHidden/>
          </w:rPr>
          <w:instrText xml:space="preserve"> PAGEREF _Toc496019875 \h </w:instrText>
        </w:r>
        <w:r w:rsidR="00C95C0B">
          <w:rPr>
            <w:noProof/>
            <w:webHidden/>
          </w:rPr>
        </w:r>
        <w:r w:rsidR="00C95C0B">
          <w:rPr>
            <w:noProof/>
            <w:webHidden/>
          </w:rPr>
          <w:fldChar w:fldCharType="separate"/>
        </w:r>
        <w:r w:rsidR="00C95C0B">
          <w:rPr>
            <w:noProof/>
            <w:webHidden/>
          </w:rPr>
          <w:t>70</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6" w:history="1">
        <w:r w:rsidR="00C95C0B" w:rsidRPr="00E54D16">
          <w:rPr>
            <w:rStyle w:val="Hyperlink"/>
            <w:noProof/>
          </w:rPr>
          <w:t>Compliance with the Carers Recognition</w:t>
        </w:r>
        <w:r w:rsidR="00C95C0B" w:rsidRPr="00E54D16">
          <w:rPr>
            <w:rStyle w:val="Hyperlink"/>
            <w:noProof/>
            <w:spacing w:val="-51"/>
          </w:rPr>
          <w:t xml:space="preserve"> </w:t>
        </w:r>
        <w:r w:rsidR="00C95C0B" w:rsidRPr="00E54D16">
          <w:rPr>
            <w:rStyle w:val="Hyperlink"/>
            <w:noProof/>
          </w:rPr>
          <w:t>Act</w:t>
        </w:r>
        <w:r w:rsidR="00C95C0B" w:rsidRPr="00E54D16">
          <w:rPr>
            <w:rStyle w:val="Hyperlink"/>
            <w:noProof/>
            <w:spacing w:val="-51"/>
          </w:rPr>
          <w:t xml:space="preserve"> </w:t>
        </w:r>
        <w:r w:rsidR="00C95C0B" w:rsidRPr="00E54D16">
          <w:rPr>
            <w:rStyle w:val="Hyperlink"/>
            <w:noProof/>
          </w:rPr>
          <w:t>2012</w:t>
        </w:r>
        <w:r w:rsidR="00C95C0B">
          <w:rPr>
            <w:noProof/>
            <w:webHidden/>
          </w:rPr>
          <w:tab/>
        </w:r>
        <w:r w:rsidR="00C95C0B">
          <w:rPr>
            <w:noProof/>
            <w:webHidden/>
          </w:rPr>
          <w:fldChar w:fldCharType="begin"/>
        </w:r>
        <w:r w:rsidR="00C95C0B">
          <w:rPr>
            <w:noProof/>
            <w:webHidden/>
          </w:rPr>
          <w:instrText xml:space="preserve"> PAGEREF _Toc496019876 \h </w:instrText>
        </w:r>
        <w:r w:rsidR="00C95C0B">
          <w:rPr>
            <w:noProof/>
            <w:webHidden/>
          </w:rPr>
        </w:r>
        <w:r w:rsidR="00C95C0B">
          <w:rPr>
            <w:noProof/>
            <w:webHidden/>
          </w:rPr>
          <w:fldChar w:fldCharType="separate"/>
        </w:r>
        <w:r w:rsidR="00C95C0B">
          <w:rPr>
            <w:noProof/>
            <w:webHidden/>
          </w:rPr>
          <w:t>71</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7" w:history="1">
        <w:r w:rsidR="00C95C0B" w:rsidRPr="00E54D16">
          <w:rPr>
            <w:rStyle w:val="Hyperlink"/>
            <w:noProof/>
          </w:rPr>
          <w:t>Additional Commission information available on request</w:t>
        </w:r>
        <w:r w:rsidR="00C95C0B">
          <w:rPr>
            <w:noProof/>
            <w:webHidden/>
          </w:rPr>
          <w:tab/>
        </w:r>
        <w:r w:rsidR="00C95C0B">
          <w:rPr>
            <w:noProof/>
            <w:webHidden/>
          </w:rPr>
          <w:fldChar w:fldCharType="begin"/>
        </w:r>
        <w:r w:rsidR="00C95C0B">
          <w:rPr>
            <w:noProof/>
            <w:webHidden/>
          </w:rPr>
          <w:instrText xml:space="preserve"> PAGEREF _Toc496019877 \h </w:instrText>
        </w:r>
        <w:r w:rsidR="00C95C0B">
          <w:rPr>
            <w:noProof/>
            <w:webHidden/>
          </w:rPr>
        </w:r>
        <w:r w:rsidR="00C95C0B">
          <w:rPr>
            <w:noProof/>
            <w:webHidden/>
          </w:rPr>
          <w:fldChar w:fldCharType="separate"/>
        </w:r>
        <w:r w:rsidR="00C95C0B">
          <w:rPr>
            <w:noProof/>
            <w:webHidden/>
          </w:rPr>
          <w:t>71</w:t>
        </w:r>
        <w:r w:rsidR="00C95C0B">
          <w:rPr>
            <w:noProof/>
            <w:webHidden/>
          </w:rPr>
          <w:fldChar w:fldCharType="end"/>
        </w:r>
      </w:hyperlink>
    </w:p>
    <w:p w:rsidR="00C95C0B" w:rsidRDefault="00C522E6">
      <w:pPr>
        <w:pStyle w:val="TOC2"/>
        <w:tabs>
          <w:tab w:val="right" w:leader="dot" w:pos="9064"/>
        </w:tabs>
        <w:rPr>
          <w:rFonts w:asciiTheme="minorHAnsi" w:eastAsiaTheme="minorEastAsia" w:hAnsiTheme="minorHAnsi" w:cstheme="minorBidi"/>
          <w:noProof/>
          <w:sz w:val="22"/>
          <w:szCs w:val="22"/>
          <w:lang w:val="en-AU" w:eastAsia="en-AU"/>
        </w:rPr>
      </w:pPr>
      <w:hyperlink w:anchor="_Toc496019878" w:history="1">
        <w:r w:rsidR="00C95C0B" w:rsidRPr="00E54D16">
          <w:rPr>
            <w:rStyle w:val="Hyperlink"/>
            <w:noProof/>
          </w:rPr>
          <w:t>Attestation for compliance with Ministerial Standing Direction 3.7.1</w:t>
        </w:r>
        <w:r w:rsidR="00C95C0B">
          <w:rPr>
            <w:noProof/>
            <w:webHidden/>
          </w:rPr>
          <w:tab/>
        </w:r>
        <w:r w:rsidR="00C95C0B">
          <w:rPr>
            <w:noProof/>
            <w:webHidden/>
          </w:rPr>
          <w:fldChar w:fldCharType="begin"/>
        </w:r>
        <w:r w:rsidR="00C95C0B">
          <w:rPr>
            <w:noProof/>
            <w:webHidden/>
          </w:rPr>
          <w:instrText xml:space="preserve"> PAGEREF _Toc496019878 \h </w:instrText>
        </w:r>
        <w:r w:rsidR="00C95C0B">
          <w:rPr>
            <w:noProof/>
            <w:webHidden/>
          </w:rPr>
        </w:r>
        <w:r w:rsidR="00C95C0B">
          <w:rPr>
            <w:noProof/>
            <w:webHidden/>
          </w:rPr>
          <w:fldChar w:fldCharType="separate"/>
        </w:r>
        <w:r w:rsidR="00C95C0B">
          <w:rPr>
            <w:noProof/>
            <w:webHidden/>
          </w:rPr>
          <w:t>72</w:t>
        </w:r>
        <w:r w:rsidR="00C95C0B">
          <w:rPr>
            <w:noProof/>
            <w:webHidden/>
          </w:rPr>
          <w:fldChar w:fldCharType="end"/>
        </w:r>
      </w:hyperlink>
    </w:p>
    <w:p w:rsidR="00C95C0B" w:rsidRDefault="00DF01C3">
      <w:pPr>
        <w:spacing w:before="0"/>
      </w:pPr>
      <w:r>
        <w:fldChar w:fldCharType="end"/>
      </w:r>
    </w:p>
    <w:p w:rsidR="00C95C0B" w:rsidRPr="00C95C0B" w:rsidRDefault="00C95C0B">
      <w:pPr>
        <w:spacing w:before="0"/>
        <w:rPr>
          <w:b/>
        </w:rPr>
      </w:pPr>
      <w:r w:rsidRPr="00C95C0B">
        <w:rPr>
          <w:b/>
        </w:rPr>
        <w:t>List of tables</w:t>
      </w:r>
    </w:p>
    <w:p w:rsidR="00C95C0B" w:rsidRDefault="00C95C0B">
      <w:pPr>
        <w:pStyle w:val="TableofFigures"/>
        <w:tabs>
          <w:tab w:val="right" w:leader="dot" w:pos="9064"/>
        </w:tabs>
        <w:rPr>
          <w:noProof/>
        </w:rPr>
      </w:pPr>
      <w:r>
        <w:fldChar w:fldCharType="begin"/>
      </w:r>
      <w:r>
        <w:instrText xml:space="preserve"> TOC \h \z \c "Table" </w:instrText>
      </w:r>
      <w:r>
        <w:fldChar w:fldCharType="separate"/>
      </w:r>
      <w:hyperlink w:anchor="_Toc496019879" w:history="1">
        <w:r w:rsidRPr="008D297B">
          <w:rPr>
            <w:rStyle w:val="Hyperlink"/>
            <w:noProof/>
          </w:rPr>
          <w:t>Table 1 Response to recommendations arising from public systemic inquiries in 2016-17</w:t>
        </w:r>
        <w:r>
          <w:rPr>
            <w:noProof/>
            <w:webHidden/>
          </w:rPr>
          <w:tab/>
        </w:r>
        <w:r>
          <w:rPr>
            <w:noProof/>
            <w:webHidden/>
          </w:rPr>
          <w:fldChar w:fldCharType="begin"/>
        </w:r>
        <w:r>
          <w:rPr>
            <w:noProof/>
            <w:webHidden/>
          </w:rPr>
          <w:instrText xml:space="preserve"> PAGEREF _Toc496019879 \h </w:instrText>
        </w:r>
        <w:r>
          <w:rPr>
            <w:noProof/>
            <w:webHidden/>
          </w:rPr>
        </w:r>
        <w:r>
          <w:rPr>
            <w:noProof/>
            <w:webHidden/>
          </w:rPr>
          <w:fldChar w:fldCharType="separate"/>
        </w:r>
        <w:r>
          <w:rPr>
            <w:noProof/>
            <w:webHidden/>
          </w:rPr>
          <w:t>20</w:t>
        </w:r>
        <w:r>
          <w:rPr>
            <w:noProof/>
            <w:webHidden/>
          </w:rPr>
          <w:fldChar w:fldCharType="end"/>
        </w:r>
      </w:hyperlink>
    </w:p>
    <w:p w:rsidR="00C95C0B" w:rsidRDefault="00C522E6">
      <w:pPr>
        <w:pStyle w:val="TableofFigures"/>
        <w:tabs>
          <w:tab w:val="right" w:leader="dot" w:pos="9064"/>
        </w:tabs>
        <w:rPr>
          <w:noProof/>
        </w:rPr>
      </w:pPr>
      <w:hyperlink w:anchor="_Toc496019880" w:history="1">
        <w:r w:rsidR="00C95C0B" w:rsidRPr="008D297B">
          <w:rPr>
            <w:rStyle w:val="Hyperlink"/>
            <w:noProof/>
          </w:rPr>
          <w:t>Table 2 Child death notifications received by the Commission in 2016–17, by Aboriginal status and category of death</w:t>
        </w:r>
        <w:r w:rsidR="00C95C0B">
          <w:rPr>
            <w:noProof/>
            <w:webHidden/>
          </w:rPr>
          <w:tab/>
        </w:r>
        <w:r w:rsidR="00C95C0B">
          <w:rPr>
            <w:noProof/>
            <w:webHidden/>
          </w:rPr>
          <w:fldChar w:fldCharType="begin"/>
        </w:r>
        <w:r w:rsidR="00C95C0B">
          <w:rPr>
            <w:noProof/>
            <w:webHidden/>
          </w:rPr>
          <w:instrText xml:space="preserve"> PAGEREF _Toc496019880 \h </w:instrText>
        </w:r>
        <w:r w:rsidR="00C95C0B">
          <w:rPr>
            <w:noProof/>
            <w:webHidden/>
          </w:rPr>
        </w:r>
        <w:r w:rsidR="00C95C0B">
          <w:rPr>
            <w:noProof/>
            <w:webHidden/>
          </w:rPr>
          <w:fldChar w:fldCharType="separate"/>
        </w:r>
        <w:r w:rsidR="00C95C0B">
          <w:rPr>
            <w:noProof/>
            <w:webHidden/>
          </w:rPr>
          <w:t>22</w:t>
        </w:r>
        <w:r w:rsidR="00C95C0B">
          <w:rPr>
            <w:noProof/>
            <w:webHidden/>
          </w:rPr>
          <w:fldChar w:fldCharType="end"/>
        </w:r>
      </w:hyperlink>
    </w:p>
    <w:p w:rsidR="00C95C0B" w:rsidRDefault="00C522E6">
      <w:pPr>
        <w:pStyle w:val="TableofFigures"/>
        <w:tabs>
          <w:tab w:val="right" w:leader="dot" w:pos="9064"/>
        </w:tabs>
        <w:rPr>
          <w:noProof/>
        </w:rPr>
      </w:pPr>
      <w:hyperlink w:anchor="_Toc496019881" w:history="1">
        <w:r w:rsidR="00C95C0B" w:rsidRPr="008D297B">
          <w:rPr>
            <w:rStyle w:val="Hyperlink"/>
            <w:noProof/>
          </w:rPr>
          <w:t>Table 3 Child death notifications to the Commission in 2016-17 by Aboriginal status and age</w:t>
        </w:r>
        <w:r w:rsidR="00C95C0B">
          <w:rPr>
            <w:noProof/>
            <w:webHidden/>
          </w:rPr>
          <w:tab/>
        </w:r>
        <w:r w:rsidR="00C95C0B">
          <w:rPr>
            <w:noProof/>
            <w:webHidden/>
          </w:rPr>
          <w:fldChar w:fldCharType="begin"/>
        </w:r>
        <w:r w:rsidR="00C95C0B">
          <w:rPr>
            <w:noProof/>
            <w:webHidden/>
          </w:rPr>
          <w:instrText xml:space="preserve"> PAGEREF _Toc496019881 \h </w:instrText>
        </w:r>
        <w:r w:rsidR="00C95C0B">
          <w:rPr>
            <w:noProof/>
            <w:webHidden/>
          </w:rPr>
        </w:r>
        <w:r w:rsidR="00C95C0B">
          <w:rPr>
            <w:noProof/>
            <w:webHidden/>
          </w:rPr>
          <w:fldChar w:fldCharType="separate"/>
        </w:r>
        <w:r w:rsidR="00C95C0B">
          <w:rPr>
            <w:noProof/>
            <w:webHidden/>
          </w:rPr>
          <w:t>23</w:t>
        </w:r>
        <w:r w:rsidR="00C95C0B">
          <w:rPr>
            <w:noProof/>
            <w:webHidden/>
          </w:rPr>
          <w:fldChar w:fldCharType="end"/>
        </w:r>
      </w:hyperlink>
    </w:p>
    <w:p w:rsidR="00C95C0B" w:rsidRDefault="00C522E6">
      <w:pPr>
        <w:pStyle w:val="TableofFigures"/>
        <w:tabs>
          <w:tab w:val="right" w:leader="dot" w:pos="9064"/>
        </w:tabs>
        <w:rPr>
          <w:noProof/>
        </w:rPr>
      </w:pPr>
      <w:hyperlink w:anchor="_Toc496019882" w:history="1">
        <w:r w:rsidR="00C95C0B" w:rsidRPr="008D297B">
          <w:rPr>
            <w:rStyle w:val="Hyperlink"/>
            <w:noProof/>
          </w:rPr>
          <w:t>Table 4 Child death notifications received by the Commission 2012-17 by category of death</w:t>
        </w:r>
        <w:r w:rsidR="00C95C0B">
          <w:rPr>
            <w:noProof/>
            <w:webHidden/>
          </w:rPr>
          <w:tab/>
        </w:r>
        <w:r w:rsidR="00C95C0B">
          <w:rPr>
            <w:noProof/>
            <w:webHidden/>
          </w:rPr>
          <w:fldChar w:fldCharType="begin"/>
        </w:r>
        <w:r w:rsidR="00C95C0B">
          <w:rPr>
            <w:noProof/>
            <w:webHidden/>
          </w:rPr>
          <w:instrText xml:space="preserve"> PAGEREF _Toc496019882 \h </w:instrText>
        </w:r>
        <w:r w:rsidR="00C95C0B">
          <w:rPr>
            <w:noProof/>
            <w:webHidden/>
          </w:rPr>
        </w:r>
        <w:r w:rsidR="00C95C0B">
          <w:rPr>
            <w:noProof/>
            <w:webHidden/>
          </w:rPr>
          <w:fldChar w:fldCharType="separate"/>
        </w:r>
        <w:r w:rsidR="00C95C0B">
          <w:rPr>
            <w:noProof/>
            <w:webHidden/>
          </w:rPr>
          <w:t>23</w:t>
        </w:r>
        <w:r w:rsidR="00C95C0B">
          <w:rPr>
            <w:noProof/>
            <w:webHidden/>
          </w:rPr>
          <w:fldChar w:fldCharType="end"/>
        </w:r>
      </w:hyperlink>
    </w:p>
    <w:p w:rsidR="00C95C0B" w:rsidRDefault="00C522E6">
      <w:pPr>
        <w:pStyle w:val="TableofFigures"/>
        <w:tabs>
          <w:tab w:val="right" w:leader="dot" w:pos="9064"/>
        </w:tabs>
        <w:rPr>
          <w:noProof/>
        </w:rPr>
      </w:pPr>
      <w:hyperlink w:anchor="_Toc496019883" w:history="1">
        <w:r w:rsidR="00C95C0B" w:rsidRPr="008D297B">
          <w:rPr>
            <w:rStyle w:val="Hyperlink"/>
            <w:noProof/>
          </w:rPr>
          <w:t>Table 5 Child death notifications received by the Commission between 2012–17, by Aboriginal status</w:t>
        </w:r>
        <w:r w:rsidR="00C95C0B">
          <w:rPr>
            <w:noProof/>
            <w:webHidden/>
          </w:rPr>
          <w:tab/>
        </w:r>
        <w:r w:rsidR="00C95C0B">
          <w:rPr>
            <w:noProof/>
            <w:webHidden/>
          </w:rPr>
          <w:fldChar w:fldCharType="begin"/>
        </w:r>
        <w:r w:rsidR="00C95C0B">
          <w:rPr>
            <w:noProof/>
            <w:webHidden/>
          </w:rPr>
          <w:instrText xml:space="preserve"> PAGEREF _Toc496019883 \h </w:instrText>
        </w:r>
        <w:r w:rsidR="00C95C0B">
          <w:rPr>
            <w:noProof/>
            <w:webHidden/>
          </w:rPr>
        </w:r>
        <w:r w:rsidR="00C95C0B">
          <w:rPr>
            <w:noProof/>
            <w:webHidden/>
          </w:rPr>
          <w:fldChar w:fldCharType="separate"/>
        </w:r>
        <w:r w:rsidR="00C95C0B">
          <w:rPr>
            <w:noProof/>
            <w:webHidden/>
          </w:rPr>
          <w:t>24</w:t>
        </w:r>
        <w:r w:rsidR="00C95C0B">
          <w:rPr>
            <w:noProof/>
            <w:webHidden/>
          </w:rPr>
          <w:fldChar w:fldCharType="end"/>
        </w:r>
      </w:hyperlink>
    </w:p>
    <w:p w:rsidR="00C95C0B" w:rsidRDefault="00C522E6">
      <w:pPr>
        <w:pStyle w:val="TableofFigures"/>
        <w:tabs>
          <w:tab w:val="right" w:leader="dot" w:pos="9064"/>
        </w:tabs>
        <w:rPr>
          <w:noProof/>
        </w:rPr>
      </w:pPr>
      <w:hyperlink w:anchor="_Toc496019884" w:history="1">
        <w:r w:rsidR="00C95C0B" w:rsidRPr="008D297B">
          <w:rPr>
            <w:rStyle w:val="Hyperlink"/>
            <w:noProof/>
          </w:rPr>
          <w:t>Table 6 Child death inquiries completed by the Commission in 2016–17, by age, category of death and Aboriginal status</w:t>
        </w:r>
        <w:r w:rsidR="00C95C0B">
          <w:rPr>
            <w:noProof/>
            <w:webHidden/>
          </w:rPr>
          <w:tab/>
        </w:r>
        <w:r w:rsidR="00C95C0B">
          <w:rPr>
            <w:noProof/>
            <w:webHidden/>
          </w:rPr>
          <w:fldChar w:fldCharType="begin"/>
        </w:r>
        <w:r w:rsidR="00C95C0B">
          <w:rPr>
            <w:noProof/>
            <w:webHidden/>
          </w:rPr>
          <w:instrText xml:space="preserve"> PAGEREF _Toc496019884 \h </w:instrText>
        </w:r>
        <w:r w:rsidR="00C95C0B">
          <w:rPr>
            <w:noProof/>
            <w:webHidden/>
          </w:rPr>
        </w:r>
        <w:r w:rsidR="00C95C0B">
          <w:rPr>
            <w:noProof/>
            <w:webHidden/>
          </w:rPr>
          <w:fldChar w:fldCharType="separate"/>
        </w:r>
        <w:r w:rsidR="00C95C0B">
          <w:rPr>
            <w:noProof/>
            <w:webHidden/>
          </w:rPr>
          <w:t>24</w:t>
        </w:r>
        <w:r w:rsidR="00C95C0B">
          <w:rPr>
            <w:noProof/>
            <w:webHidden/>
          </w:rPr>
          <w:fldChar w:fldCharType="end"/>
        </w:r>
      </w:hyperlink>
    </w:p>
    <w:p w:rsidR="00C95C0B" w:rsidRDefault="00C522E6">
      <w:pPr>
        <w:pStyle w:val="TableofFigures"/>
        <w:tabs>
          <w:tab w:val="right" w:leader="dot" w:pos="9064"/>
        </w:tabs>
        <w:rPr>
          <w:noProof/>
        </w:rPr>
      </w:pPr>
      <w:hyperlink w:anchor="_Toc496019885" w:history="1">
        <w:r w:rsidR="00C95C0B" w:rsidRPr="008D297B">
          <w:rPr>
            <w:rStyle w:val="Hyperlink"/>
            <w:noProof/>
          </w:rPr>
          <w:t>Table 7 Child death inquiries completed by the Commission in 2016-17, by living arrangements at death</w:t>
        </w:r>
        <w:r w:rsidR="00C95C0B">
          <w:rPr>
            <w:noProof/>
            <w:webHidden/>
          </w:rPr>
          <w:tab/>
        </w:r>
        <w:r w:rsidR="00C95C0B">
          <w:rPr>
            <w:noProof/>
            <w:webHidden/>
          </w:rPr>
          <w:fldChar w:fldCharType="begin"/>
        </w:r>
        <w:r w:rsidR="00C95C0B">
          <w:rPr>
            <w:noProof/>
            <w:webHidden/>
          </w:rPr>
          <w:instrText xml:space="preserve"> PAGEREF _Toc496019885 \h </w:instrText>
        </w:r>
        <w:r w:rsidR="00C95C0B">
          <w:rPr>
            <w:noProof/>
            <w:webHidden/>
          </w:rPr>
        </w:r>
        <w:r w:rsidR="00C95C0B">
          <w:rPr>
            <w:noProof/>
            <w:webHidden/>
          </w:rPr>
          <w:fldChar w:fldCharType="separate"/>
        </w:r>
        <w:r w:rsidR="00C95C0B">
          <w:rPr>
            <w:noProof/>
            <w:webHidden/>
          </w:rPr>
          <w:t>26</w:t>
        </w:r>
        <w:r w:rsidR="00C95C0B">
          <w:rPr>
            <w:noProof/>
            <w:webHidden/>
          </w:rPr>
          <w:fldChar w:fldCharType="end"/>
        </w:r>
      </w:hyperlink>
    </w:p>
    <w:p w:rsidR="00C95C0B" w:rsidRDefault="00C522E6">
      <w:pPr>
        <w:pStyle w:val="TableofFigures"/>
        <w:tabs>
          <w:tab w:val="right" w:leader="dot" w:pos="9064"/>
        </w:tabs>
        <w:rPr>
          <w:noProof/>
        </w:rPr>
      </w:pPr>
      <w:hyperlink w:anchor="_Toc496019886" w:history="1">
        <w:r w:rsidR="00C95C0B" w:rsidRPr="008D297B">
          <w:rPr>
            <w:rStyle w:val="Hyperlink"/>
            <w:noProof/>
          </w:rPr>
          <w:t>Table 8 Category One client incident reports for children in out-of-home care between 2015–17, by type of incident reported</w:t>
        </w:r>
        <w:r w:rsidR="00C95C0B">
          <w:rPr>
            <w:noProof/>
            <w:webHidden/>
          </w:rPr>
          <w:tab/>
        </w:r>
        <w:r w:rsidR="00C95C0B">
          <w:rPr>
            <w:noProof/>
            <w:webHidden/>
          </w:rPr>
          <w:fldChar w:fldCharType="begin"/>
        </w:r>
        <w:r w:rsidR="00C95C0B">
          <w:rPr>
            <w:noProof/>
            <w:webHidden/>
          </w:rPr>
          <w:instrText xml:space="preserve"> PAGEREF _Toc496019886 \h </w:instrText>
        </w:r>
        <w:r w:rsidR="00C95C0B">
          <w:rPr>
            <w:noProof/>
            <w:webHidden/>
          </w:rPr>
        </w:r>
        <w:r w:rsidR="00C95C0B">
          <w:rPr>
            <w:noProof/>
            <w:webHidden/>
          </w:rPr>
          <w:fldChar w:fldCharType="separate"/>
        </w:r>
        <w:r w:rsidR="00C95C0B">
          <w:rPr>
            <w:noProof/>
            <w:webHidden/>
          </w:rPr>
          <w:t>35</w:t>
        </w:r>
        <w:r w:rsidR="00C95C0B">
          <w:rPr>
            <w:noProof/>
            <w:webHidden/>
          </w:rPr>
          <w:fldChar w:fldCharType="end"/>
        </w:r>
      </w:hyperlink>
    </w:p>
    <w:p w:rsidR="00C95C0B" w:rsidRDefault="00C522E6">
      <w:pPr>
        <w:pStyle w:val="TableofFigures"/>
        <w:tabs>
          <w:tab w:val="right" w:leader="dot" w:pos="9064"/>
        </w:tabs>
        <w:rPr>
          <w:noProof/>
        </w:rPr>
      </w:pPr>
      <w:hyperlink w:anchor="_Toc496019887" w:history="1">
        <w:r w:rsidR="00C95C0B" w:rsidRPr="008D297B">
          <w:rPr>
            <w:rStyle w:val="Hyperlink"/>
            <w:noProof/>
          </w:rPr>
          <w:t>Table 9 Category One client incident reports for children in out-of-home care, by placement type.</w:t>
        </w:r>
        <w:r w:rsidR="00C95C0B">
          <w:rPr>
            <w:noProof/>
            <w:webHidden/>
          </w:rPr>
          <w:tab/>
        </w:r>
        <w:r w:rsidR="00C95C0B">
          <w:rPr>
            <w:noProof/>
            <w:webHidden/>
          </w:rPr>
          <w:fldChar w:fldCharType="begin"/>
        </w:r>
        <w:r w:rsidR="00C95C0B">
          <w:rPr>
            <w:noProof/>
            <w:webHidden/>
          </w:rPr>
          <w:instrText xml:space="preserve"> PAGEREF _Toc496019887 \h </w:instrText>
        </w:r>
        <w:r w:rsidR="00C95C0B">
          <w:rPr>
            <w:noProof/>
            <w:webHidden/>
          </w:rPr>
        </w:r>
        <w:r w:rsidR="00C95C0B">
          <w:rPr>
            <w:noProof/>
            <w:webHidden/>
          </w:rPr>
          <w:fldChar w:fldCharType="separate"/>
        </w:r>
        <w:r w:rsidR="00C95C0B">
          <w:rPr>
            <w:noProof/>
            <w:webHidden/>
          </w:rPr>
          <w:t>38</w:t>
        </w:r>
        <w:r w:rsidR="00C95C0B">
          <w:rPr>
            <w:noProof/>
            <w:webHidden/>
          </w:rPr>
          <w:fldChar w:fldCharType="end"/>
        </w:r>
      </w:hyperlink>
    </w:p>
    <w:p w:rsidR="00C95C0B" w:rsidRDefault="00C522E6">
      <w:pPr>
        <w:pStyle w:val="TableofFigures"/>
        <w:tabs>
          <w:tab w:val="right" w:leader="dot" w:pos="9064"/>
        </w:tabs>
        <w:rPr>
          <w:noProof/>
        </w:rPr>
      </w:pPr>
      <w:hyperlink w:anchor="_Toc496019888" w:history="1">
        <w:r w:rsidR="00C95C0B" w:rsidRPr="008D297B">
          <w:rPr>
            <w:rStyle w:val="Hyperlink"/>
            <w:noProof/>
          </w:rPr>
          <w:t>Table 10 Number of youth justice category one incidents reported to the Commission in 2016-17</w:t>
        </w:r>
        <w:r w:rsidR="00C95C0B">
          <w:rPr>
            <w:noProof/>
            <w:webHidden/>
          </w:rPr>
          <w:tab/>
        </w:r>
        <w:r w:rsidR="00C95C0B">
          <w:rPr>
            <w:noProof/>
            <w:webHidden/>
          </w:rPr>
          <w:fldChar w:fldCharType="begin"/>
        </w:r>
        <w:r w:rsidR="00C95C0B">
          <w:rPr>
            <w:noProof/>
            <w:webHidden/>
          </w:rPr>
          <w:instrText xml:space="preserve"> PAGEREF _Toc496019888 \h </w:instrText>
        </w:r>
        <w:r w:rsidR="00C95C0B">
          <w:rPr>
            <w:noProof/>
            <w:webHidden/>
          </w:rPr>
        </w:r>
        <w:r w:rsidR="00C95C0B">
          <w:rPr>
            <w:noProof/>
            <w:webHidden/>
          </w:rPr>
          <w:fldChar w:fldCharType="separate"/>
        </w:r>
        <w:r w:rsidR="00C95C0B">
          <w:rPr>
            <w:noProof/>
            <w:webHidden/>
          </w:rPr>
          <w:t>39</w:t>
        </w:r>
        <w:r w:rsidR="00C95C0B">
          <w:rPr>
            <w:noProof/>
            <w:webHidden/>
          </w:rPr>
          <w:fldChar w:fldCharType="end"/>
        </w:r>
      </w:hyperlink>
    </w:p>
    <w:p w:rsidR="00C95C0B" w:rsidRDefault="00C522E6">
      <w:pPr>
        <w:pStyle w:val="TableofFigures"/>
        <w:tabs>
          <w:tab w:val="right" w:leader="dot" w:pos="9064"/>
        </w:tabs>
        <w:rPr>
          <w:noProof/>
        </w:rPr>
      </w:pPr>
      <w:hyperlink w:anchor="_Toc496019889" w:history="1">
        <w:r w:rsidR="00C95C0B" w:rsidRPr="008D297B">
          <w:rPr>
            <w:rStyle w:val="Hyperlink"/>
            <w:noProof/>
          </w:rPr>
          <w:t>Table 11 Non-compliance concerns status as at 30 June 2017</w:t>
        </w:r>
        <w:r w:rsidR="00C95C0B">
          <w:rPr>
            <w:noProof/>
            <w:webHidden/>
          </w:rPr>
          <w:tab/>
        </w:r>
        <w:r w:rsidR="00C95C0B">
          <w:rPr>
            <w:noProof/>
            <w:webHidden/>
          </w:rPr>
          <w:fldChar w:fldCharType="begin"/>
        </w:r>
        <w:r w:rsidR="00C95C0B">
          <w:rPr>
            <w:noProof/>
            <w:webHidden/>
          </w:rPr>
          <w:instrText xml:space="preserve"> PAGEREF _Toc496019889 \h </w:instrText>
        </w:r>
        <w:r w:rsidR="00C95C0B">
          <w:rPr>
            <w:noProof/>
            <w:webHidden/>
          </w:rPr>
        </w:r>
        <w:r w:rsidR="00C95C0B">
          <w:rPr>
            <w:noProof/>
            <w:webHidden/>
          </w:rPr>
          <w:fldChar w:fldCharType="separate"/>
        </w:r>
        <w:r w:rsidR="00C95C0B">
          <w:rPr>
            <w:noProof/>
            <w:webHidden/>
          </w:rPr>
          <w:t>50</w:t>
        </w:r>
        <w:r w:rsidR="00C95C0B">
          <w:rPr>
            <w:noProof/>
            <w:webHidden/>
          </w:rPr>
          <w:fldChar w:fldCharType="end"/>
        </w:r>
      </w:hyperlink>
    </w:p>
    <w:p w:rsidR="00C95C0B" w:rsidRDefault="00C522E6">
      <w:pPr>
        <w:pStyle w:val="TableofFigures"/>
        <w:tabs>
          <w:tab w:val="right" w:leader="dot" w:pos="9064"/>
        </w:tabs>
        <w:rPr>
          <w:noProof/>
        </w:rPr>
      </w:pPr>
      <w:hyperlink w:anchor="_Toc496019890" w:history="1">
        <w:r w:rsidR="00C95C0B" w:rsidRPr="008D297B">
          <w:rPr>
            <w:rStyle w:val="Hyperlink"/>
            <w:noProof/>
          </w:rPr>
          <w:t>Table 12 Commission's Child Safe Standards compliance activities 1 January 2017 - 30 June 2017</w:t>
        </w:r>
        <w:r w:rsidR="00C95C0B">
          <w:rPr>
            <w:noProof/>
            <w:webHidden/>
          </w:rPr>
          <w:tab/>
        </w:r>
        <w:r w:rsidR="00C95C0B">
          <w:rPr>
            <w:noProof/>
            <w:webHidden/>
          </w:rPr>
          <w:fldChar w:fldCharType="begin"/>
        </w:r>
        <w:r w:rsidR="00C95C0B">
          <w:rPr>
            <w:noProof/>
            <w:webHidden/>
          </w:rPr>
          <w:instrText xml:space="preserve"> PAGEREF _Toc496019890 \h </w:instrText>
        </w:r>
        <w:r w:rsidR="00C95C0B">
          <w:rPr>
            <w:noProof/>
            <w:webHidden/>
          </w:rPr>
        </w:r>
        <w:r w:rsidR="00C95C0B">
          <w:rPr>
            <w:noProof/>
            <w:webHidden/>
          </w:rPr>
          <w:fldChar w:fldCharType="separate"/>
        </w:r>
        <w:r w:rsidR="00C95C0B">
          <w:rPr>
            <w:noProof/>
            <w:webHidden/>
          </w:rPr>
          <w:t>51</w:t>
        </w:r>
        <w:r w:rsidR="00C95C0B">
          <w:rPr>
            <w:noProof/>
            <w:webHidden/>
          </w:rPr>
          <w:fldChar w:fldCharType="end"/>
        </w:r>
      </w:hyperlink>
    </w:p>
    <w:p w:rsidR="00C95C0B" w:rsidRDefault="00C522E6">
      <w:pPr>
        <w:pStyle w:val="TableofFigures"/>
        <w:tabs>
          <w:tab w:val="right" w:leader="dot" w:pos="9064"/>
        </w:tabs>
        <w:rPr>
          <w:noProof/>
        </w:rPr>
      </w:pPr>
      <w:hyperlink w:anchor="_Toc496019891" w:history="1">
        <w:r w:rsidR="00C95C0B" w:rsidRPr="008D297B">
          <w:rPr>
            <w:rStyle w:val="Hyperlink"/>
            <w:noProof/>
          </w:rPr>
          <w:t>Table 13 Commission expenditure for 2016-17</w:t>
        </w:r>
        <w:r w:rsidR="00C95C0B">
          <w:rPr>
            <w:noProof/>
            <w:webHidden/>
          </w:rPr>
          <w:tab/>
        </w:r>
        <w:r w:rsidR="00C95C0B">
          <w:rPr>
            <w:noProof/>
            <w:webHidden/>
          </w:rPr>
          <w:fldChar w:fldCharType="begin"/>
        </w:r>
        <w:r w:rsidR="00C95C0B">
          <w:rPr>
            <w:noProof/>
            <w:webHidden/>
          </w:rPr>
          <w:instrText xml:space="preserve"> PAGEREF _Toc496019891 \h </w:instrText>
        </w:r>
        <w:r w:rsidR="00C95C0B">
          <w:rPr>
            <w:noProof/>
            <w:webHidden/>
          </w:rPr>
        </w:r>
        <w:r w:rsidR="00C95C0B">
          <w:rPr>
            <w:noProof/>
            <w:webHidden/>
          </w:rPr>
          <w:fldChar w:fldCharType="separate"/>
        </w:r>
        <w:r w:rsidR="00C95C0B">
          <w:rPr>
            <w:noProof/>
            <w:webHidden/>
          </w:rPr>
          <w:t>60</w:t>
        </w:r>
        <w:r w:rsidR="00C95C0B">
          <w:rPr>
            <w:noProof/>
            <w:webHidden/>
          </w:rPr>
          <w:fldChar w:fldCharType="end"/>
        </w:r>
      </w:hyperlink>
    </w:p>
    <w:p w:rsidR="00C95C0B" w:rsidRDefault="00C522E6">
      <w:pPr>
        <w:pStyle w:val="TableofFigures"/>
        <w:tabs>
          <w:tab w:val="right" w:leader="dot" w:pos="9064"/>
        </w:tabs>
        <w:rPr>
          <w:noProof/>
        </w:rPr>
      </w:pPr>
      <w:hyperlink w:anchor="_Toc496019892" w:history="1">
        <w:r w:rsidR="00C95C0B" w:rsidRPr="008D297B">
          <w:rPr>
            <w:rStyle w:val="Hyperlink"/>
            <w:noProof/>
          </w:rPr>
          <w:t>Table 14 Comparative workforce data as at 30 June 2017</w:t>
        </w:r>
        <w:r w:rsidR="00C95C0B">
          <w:rPr>
            <w:noProof/>
            <w:webHidden/>
          </w:rPr>
          <w:tab/>
        </w:r>
        <w:r w:rsidR="00C95C0B">
          <w:rPr>
            <w:noProof/>
            <w:webHidden/>
          </w:rPr>
          <w:fldChar w:fldCharType="begin"/>
        </w:r>
        <w:r w:rsidR="00C95C0B">
          <w:rPr>
            <w:noProof/>
            <w:webHidden/>
          </w:rPr>
          <w:instrText xml:space="preserve"> PAGEREF _Toc496019892 \h </w:instrText>
        </w:r>
        <w:r w:rsidR="00C95C0B">
          <w:rPr>
            <w:noProof/>
            <w:webHidden/>
          </w:rPr>
        </w:r>
        <w:r w:rsidR="00C95C0B">
          <w:rPr>
            <w:noProof/>
            <w:webHidden/>
          </w:rPr>
          <w:fldChar w:fldCharType="separate"/>
        </w:r>
        <w:r w:rsidR="00C95C0B">
          <w:rPr>
            <w:noProof/>
            <w:webHidden/>
          </w:rPr>
          <w:t>66</w:t>
        </w:r>
        <w:r w:rsidR="00C95C0B">
          <w:rPr>
            <w:noProof/>
            <w:webHidden/>
          </w:rPr>
          <w:fldChar w:fldCharType="end"/>
        </w:r>
      </w:hyperlink>
    </w:p>
    <w:p w:rsidR="00C95C0B" w:rsidRDefault="00C522E6">
      <w:pPr>
        <w:pStyle w:val="TableofFigures"/>
        <w:tabs>
          <w:tab w:val="right" w:leader="dot" w:pos="9064"/>
        </w:tabs>
        <w:rPr>
          <w:noProof/>
        </w:rPr>
      </w:pPr>
      <w:hyperlink w:anchor="_Toc496019893" w:history="1">
        <w:r w:rsidR="00C95C0B" w:rsidRPr="008D297B">
          <w:rPr>
            <w:rStyle w:val="Hyperlink"/>
            <w:noProof/>
          </w:rPr>
          <w:t>Table 15 Annualised total salary, by $20,000 bands, for executives and other senior non-executive staff</w:t>
        </w:r>
        <w:r w:rsidR="00C95C0B">
          <w:rPr>
            <w:noProof/>
            <w:webHidden/>
          </w:rPr>
          <w:tab/>
        </w:r>
        <w:r w:rsidR="00C95C0B">
          <w:rPr>
            <w:noProof/>
            <w:webHidden/>
          </w:rPr>
          <w:fldChar w:fldCharType="begin"/>
        </w:r>
        <w:r w:rsidR="00C95C0B">
          <w:rPr>
            <w:noProof/>
            <w:webHidden/>
          </w:rPr>
          <w:instrText xml:space="preserve"> PAGEREF _Toc496019893 \h </w:instrText>
        </w:r>
        <w:r w:rsidR="00C95C0B">
          <w:rPr>
            <w:noProof/>
            <w:webHidden/>
          </w:rPr>
        </w:r>
        <w:r w:rsidR="00C95C0B">
          <w:rPr>
            <w:noProof/>
            <w:webHidden/>
          </w:rPr>
          <w:fldChar w:fldCharType="separate"/>
        </w:r>
        <w:r w:rsidR="00C95C0B">
          <w:rPr>
            <w:noProof/>
            <w:webHidden/>
          </w:rPr>
          <w:t>68</w:t>
        </w:r>
        <w:r w:rsidR="00C95C0B">
          <w:rPr>
            <w:noProof/>
            <w:webHidden/>
          </w:rPr>
          <w:fldChar w:fldCharType="end"/>
        </w:r>
      </w:hyperlink>
    </w:p>
    <w:p w:rsidR="00C95C0B" w:rsidRDefault="00C522E6">
      <w:pPr>
        <w:pStyle w:val="TableofFigures"/>
        <w:tabs>
          <w:tab w:val="right" w:leader="dot" w:pos="9064"/>
        </w:tabs>
        <w:rPr>
          <w:noProof/>
        </w:rPr>
      </w:pPr>
      <w:hyperlink w:anchor="_Toc496019894" w:history="1">
        <w:r w:rsidR="00C95C0B" w:rsidRPr="008D297B">
          <w:rPr>
            <w:rStyle w:val="Hyperlink"/>
            <w:noProof/>
          </w:rPr>
          <w:t>Table 16 Total number of EOs for the Commission, by gender</w:t>
        </w:r>
        <w:r w:rsidR="00C95C0B">
          <w:rPr>
            <w:noProof/>
            <w:webHidden/>
          </w:rPr>
          <w:tab/>
        </w:r>
        <w:r w:rsidR="00C95C0B">
          <w:rPr>
            <w:noProof/>
            <w:webHidden/>
          </w:rPr>
          <w:fldChar w:fldCharType="begin"/>
        </w:r>
        <w:r w:rsidR="00C95C0B">
          <w:rPr>
            <w:noProof/>
            <w:webHidden/>
          </w:rPr>
          <w:instrText xml:space="preserve"> PAGEREF _Toc496019894 \h </w:instrText>
        </w:r>
        <w:r w:rsidR="00C95C0B">
          <w:rPr>
            <w:noProof/>
            <w:webHidden/>
          </w:rPr>
        </w:r>
        <w:r w:rsidR="00C95C0B">
          <w:rPr>
            <w:noProof/>
            <w:webHidden/>
          </w:rPr>
          <w:fldChar w:fldCharType="separate"/>
        </w:r>
        <w:r w:rsidR="00C95C0B">
          <w:rPr>
            <w:noProof/>
            <w:webHidden/>
          </w:rPr>
          <w:t>68</w:t>
        </w:r>
        <w:r w:rsidR="00C95C0B">
          <w:rPr>
            <w:noProof/>
            <w:webHidden/>
          </w:rPr>
          <w:fldChar w:fldCharType="end"/>
        </w:r>
      </w:hyperlink>
    </w:p>
    <w:p w:rsidR="00C95C0B" w:rsidRDefault="00C522E6">
      <w:pPr>
        <w:pStyle w:val="TableofFigures"/>
        <w:tabs>
          <w:tab w:val="right" w:leader="dot" w:pos="9064"/>
        </w:tabs>
        <w:rPr>
          <w:noProof/>
        </w:rPr>
      </w:pPr>
      <w:hyperlink w:anchor="_Toc496019895" w:history="1">
        <w:r w:rsidR="00C95C0B" w:rsidRPr="008D297B">
          <w:rPr>
            <w:rStyle w:val="Hyperlink"/>
            <w:noProof/>
          </w:rPr>
          <w:t>Table 17 Reconciliation of executive numbers</w:t>
        </w:r>
        <w:r w:rsidR="00C95C0B">
          <w:rPr>
            <w:noProof/>
            <w:webHidden/>
          </w:rPr>
          <w:tab/>
        </w:r>
        <w:r w:rsidR="00C95C0B">
          <w:rPr>
            <w:noProof/>
            <w:webHidden/>
          </w:rPr>
          <w:fldChar w:fldCharType="begin"/>
        </w:r>
        <w:r w:rsidR="00C95C0B">
          <w:rPr>
            <w:noProof/>
            <w:webHidden/>
          </w:rPr>
          <w:instrText xml:space="preserve"> PAGEREF _Toc496019895 \h </w:instrText>
        </w:r>
        <w:r w:rsidR="00C95C0B">
          <w:rPr>
            <w:noProof/>
            <w:webHidden/>
          </w:rPr>
        </w:r>
        <w:r w:rsidR="00C95C0B">
          <w:rPr>
            <w:noProof/>
            <w:webHidden/>
          </w:rPr>
          <w:fldChar w:fldCharType="separate"/>
        </w:r>
        <w:r w:rsidR="00C95C0B">
          <w:rPr>
            <w:noProof/>
            <w:webHidden/>
          </w:rPr>
          <w:t>68</w:t>
        </w:r>
        <w:r w:rsidR="00C95C0B">
          <w:rPr>
            <w:noProof/>
            <w:webHidden/>
          </w:rPr>
          <w:fldChar w:fldCharType="end"/>
        </w:r>
      </w:hyperlink>
    </w:p>
    <w:p w:rsidR="00C95C0B" w:rsidRDefault="00C522E6">
      <w:pPr>
        <w:pStyle w:val="TableofFigures"/>
        <w:tabs>
          <w:tab w:val="right" w:leader="dot" w:pos="9064"/>
        </w:tabs>
        <w:rPr>
          <w:noProof/>
        </w:rPr>
      </w:pPr>
      <w:hyperlink w:anchor="_Toc496019896" w:history="1">
        <w:r w:rsidR="00C95C0B" w:rsidRPr="008D297B">
          <w:rPr>
            <w:rStyle w:val="Hyperlink"/>
            <w:noProof/>
          </w:rPr>
          <w:t>Table 18 Details of advertising expenditure</w:t>
        </w:r>
        <w:r w:rsidR="00C95C0B">
          <w:rPr>
            <w:noProof/>
            <w:webHidden/>
          </w:rPr>
          <w:tab/>
        </w:r>
        <w:r w:rsidR="00C95C0B">
          <w:rPr>
            <w:noProof/>
            <w:webHidden/>
          </w:rPr>
          <w:fldChar w:fldCharType="begin"/>
        </w:r>
        <w:r w:rsidR="00C95C0B">
          <w:rPr>
            <w:noProof/>
            <w:webHidden/>
          </w:rPr>
          <w:instrText xml:space="preserve"> PAGEREF _Toc496019896 \h </w:instrText>
        </w:r>
        <w:r w:rsidR="00C95C0B">
          <w:rPr>
            <w:noProof/>
            <w:webHidden/>
          </w:rPr>
        </w:r>
        <w:r w:rsidR="00C95C0B">
          <w:rPr>
            <w:noProof/>
            <w:webHidden/>
          </w:rPr>
          <w:fldChar w:fldCharType="separate"/>
        </w:r>
        <w:r w:rsidR="00C95C0B">
          <w:rPr>
            <w:noProof/>
            <w:webHidden/>
          </w:rPr>
          <w:t>69</w:t>
        </w:r>
        <w:r w:rsidR="00C95C0B">
          <w:rPr>
            <w:noProof/>
            <w:webHidden/>
          </w:rPr>
          <w:fldChar w:fldCharType="end"/>
        </w:r>
      </w:hyperlink>
    </w:p>
    <w:p w:rsidR="00C95C0B" w:rsidRDefault="00C522E6">
      <w:pPr>
        <w:pStyle w:val="TableofFigures"/>
        <w:tabs>
          <w:tab w:val="right" w:leader="dot" w:pos="9064"/>
        </w:tabs>
        <w:rPr>
          <w:noProof/>
        </w:rPr>
      </w:pPr>
      <w:hyperlink w:anchor="_Toc496019897" w:history="1">
        <w:r w:rsidR="00C95C0B" w:rsidRPr="008D297B">
          <w:rPr>
            <w:rStyle w:val="Hyperlink"/>
            <w:noProof/>
          </w:rPr>
          <w:t>Table 19 Consultancies valued at $10,000 or greater</w:t>
        </w:r>
        <w:r w:rsidR="00C95C0B">
          <w:rPr>
            <w:noProof/>
            <w:webHidden/>
          </w:rPr>
          <w:tab/>
        </w:r>
        <w:r w:rsidR="00C95C0B">
          <w:rPr>
            <w:noProof/>
            <w:webHidden/>
          </w:rPr>
          <w:fldChar w:fldCharType="begin"/>
        </w:r>
        <w:r w:rsidR="00C95C0B">
          <w:rPr>
            <w:noProof/>
            <w:webHidden/>
          </w:rPr>
          <w:instrText xml:space="preserve"> PAGEREF _Toc496019897 \h </w:instrText>
        </w:r>
        <w:r w:rsidR="00C95C0B">
          <w:rPr>
            <w:noProof/>
            <w:webHidden/>
          </w:rPr>
        </w:r>
        <w:r w:rsidR="00C95C0B">
          <w:rPr>
            <w:noProof/>
            <w:webHidden/>
          </w:rPr>
          <w:fldChar w:fldCharType="separate"/>
        </w:r>
        <w:r w:rsidR="00C95C0B">
          <w:rPr>
            <w:noProof/>
            <w:webHidden/>
          </w:rPr>
          <w:t>70</w:t>
        </w:r>
        <w:r w:rsidR="00C95C0B">
          <w:rPr>
            <w:noProof/>
            <w:webHidden/>
          </w:rPr>
          <w:fldChar w:fldCharType="end"/>
        </w:r>
      </w:hyperlink>
    </w:p>
    <w:p w:rsidR="00C95C0B" w:rsidRDefault="00C522E6">
      <w:pPr>
        <w:pStyle w:val="TableofFigures"/>
        <w:tabs>
          <w:tab w:val="right" w:leader="dot" w:pos="9064"/>
        </w:tabs>
        <w:rPr>
          <w:noProof/>
        </w:rPr>
      </w:pPr>
      <w:hyperlink w:anchor="_Toc496019898" w:history="1">
        <w:r w:rsidR="00C95C0B" w:rsidRPr="008D297B">
          <w:rPr>
            <w:rStyle w:val="Hyperlink"/>
            <w:noProof/>
          </w:rPr>
          <w:t>Table 20 Commission ICT expenditure</w:t>
        </w:r>
        <w:r w:rsidR="00C95C0B">
          <w:rPr>
            <w:noProof/>
            <w:webHidden/>
          </w:rPr>
          <w:tab/>
        </w:r>
        <w:r w:rsidR="00C95C0B">
          <w:rPr>
            <w:noProof/>
            <w:webHidden/>
          </w:rPr>
          <w:fldChar w:fldCharType="begin"/>
        </w:r>
        <w:r w:rsidR="00C95C0B">
          <w:rPr>
            <w:noProof/>
            <w:webHidden/>
          </w:rPr>
          <w:instrText xml:space="preserve"> PAGEREF _Toc496019898 \h </w:instrText>
        </w:r>
        <w:r w:rsidR="00C95C0B">
          <w:rPr>
            <w:noProof/>
            <w:webHidden/>
          </w:rPr>
        </w:r>
        <w:r w:rsidR="00C95C0B">
          <w:rPr>
            <w:noProof/>
            <w:webHidden/>
          </w:rPr>
          <w:fldChar w:fldCharType="separate"/>
        </w:r>
        <w:r w:rsidR="00C95C0B">
          <w:rPr>
            <w:noProof/>
            <w:webHidden/>
          </w:rPr>
          <w:t>70</w:t>
        </w:r>
        <w:r w:rsidR="00C95C0B">
          <w:rPr>
            <w:noProof/>
            <w:webHidden/>
          </w:rPr>
          <w:fldChar w:fldCharType="end"/>
        </w:r>
      </w:hyperlink>
    </w:p>
    <w:p w:rsidR="00C95C0B" w:rsidRDefault="00C95C0B">
      <w:pPr>
        <w:spacing w:before="0"/>
      </w:pPr>
      <w:r>
        <w:fldChar w:fldCharType="end"/>
      </w:r>
    </w:p>
    <w:p w:rsidR="00C95C0B" w:rsidRPr="00C95C0B" w:rsidRDefault="00C95C0B">
      <w:pPr>
        <w:spacing w:before="0"/>
        <w:rPr>
          <w:b/>
        </w:rPr>
      </w:pPr>
      <w:r w:rsidRPr="00C95C0B">
        <w:rPr>
          <w:b/>
        </w:rPr>
        <w:t>List of figures</w:t>
      </w:r>
    </w:p>
    <w:p w:rsidR="00C95C0B" w:rsidRDefault="00C95C0B">
      <w:pPr>
        <w:pStyle w:val="TableofFigures"/>
        <w:tabs>
          <w:tab w:val="right" w:leader="dot" w:pos="9064"/>
        </w:tabs>
        <w:rPr>
          <w:rFonts w:asciiTheme="minorHAnsi" w:eastAsiaTheme="minorEastAsia" w:hAnsiTheme="minorHAnsi" w:cstheme="minorBidi"/>
          <w:noProof/>
          <w:szCs w:val="22"/>
          <w:lang w:val="en-AU" w:eastAsia="en-AU"/>
        </w:rPr>
      </w:pPr>
      <w:r>
        <w:fldChar w:fldCharType="begin"/>
      </w:r>
      <w:r>
        <w:instrText xml:space="preserve"> TOC \h \z \c "Figure" </w:instrText>
      </w:r>
      <w:r>
        <w:fldChar w:fldCharType="separate"/>
      </w:r>
      <w:hyperlink w:anchor="_Toc496019899" w:history="1">
        <w:r w:rsidRPr="008F7588">
          <w:rPr>
            <w:rStyle w:val="Hyperlink"/>
            <w:noProof/>
          </w:rPr>
          <w:t>Figure 1 Alleged physical assaults incidents in out-of-home care reported to the Commission in 2016-17</w:t>
        </w:r>
        <w:r>
          <w:rPr>
            <w:noProof/>
            <w:webHidden/>
          </w:rPr>
          <w:tab/>
        </w:r>
        <w:r>
          <w:rPr>
            <w:noProof/>
            <w:webHidden/>
          </w:rPr>
          <w:fldChar w:fldCharType="begin"/>
        </w:r>
        <w:r>
          <w:rPr>
            <w:noProof/>
            <w:webHidden/>
          </w:rPr>
          <w:instrText xml:space="preserve"> PAGEREF _Toc496019899 \h </w:instrText>
        </w:r>
        <w:r>
          <w:rPr>
            <w:noProof/>
            <w:webHidden/>
          </w:rPr>
        </w:r>
        <w:r>
          <w:rPr>
            <w:noProof/>
            <w:webHidden/>
          </w:rPr>
          <w:fldChar w:fldCharType="separate"/>
        </w:r>
        <w:r>
          <w:rPr>
            <w:noProof/>
            <w:webHidden/>
          </w:rPr>
          <w:t>37</w:t>
        </w:r>
        <w:r>
          <w:rPr>
            <w:noProof/>
            <w:webHidden/>
          </w:rPr>
          <w:fldChar w:fldCharType="end"/>
        </w:r>
      </w:hyperlink>
    </w:p>
    <w:p w:rsidR="00C95C0B" w:rsidRDefault="00C522E6">
      <w:pPr>
        <w:pStyle w:val="TableofFigures"/>
        <w:tabs>
          <w:tab w:val="right" w:leader="dot" w:pos="9064"/>
        </w:tabs>
        <w:rPr>
          <w:rFonts w:asciiTheme="minorHAnsi" w:eastAsiaTheme="minorEastAsia" w:hAnsiTheme="minorHAnsi" w:cstheme="minorBidi"/>
          <w:noProof/>
          <w:szCs w:val="22"/>
          <w:lang w:val="en-AU" w:eastAsia="en-AU"/>
        </w:rPr>
      </w:pPr>
      <w:hyperlink w:anchor="_Toc496019900" w:history="1">
        <w:r w:rsidR="00C95C0B" w:rsidRPr="008F7588">
          <w:rPr>
            <w:rStyle w:val="Hyperlink"/>
            <w:noProof/>
          </w:rPr>
          <w:t>Figure 2 Alleged sexual assault incident in out-of-home care reported to the Commission in 2016-17</w:t>
        </w:r>
        <w:r w:rsidR="00C95C0B">
          <w:rPr>
            <w:noProof/>
            <w:webHidden/>
          </w:rPr>
          <w:tab/>
        </w:r>
        <w:r w:rsidR="00C95C0B">
          <w:rPr>
            <w:noProof/>
            <w:webHidden/>
          </w:rPr>
          <w:fldChar w:fldCharType="begin"/>
        </w:r>
        <w:r w:rsidR="00C95C0B">
          <w:rPr>
            <w:noProof/>
            <w:webHidden/>
          </w:rPr>
          <w:instrText xml:space="preserve"> PAGEREF _Toc496019900 \h </w:instrText>
        </w:r>
        <w:r w:rsidR="00C95C0B">
          <w:rPr>
            <w:noProof/>
            <w:webHidden/>
          </w:rPr>
        </w:r>
        <w:r w:rsidR="00C95C0B">
          <w:rPr>
            <w:noProof/>
            <w:webHidden/>
          </w:rPr>
          <w:fldChar w:fldCharType="separate"/>
        </w:r>
        <w:r w:rsidR="00C95C0B">
          <w:rPr>
            <w:noProof/>
            <w:webHidden/>
          </w:rPr>
          <w:t>37</w:t>
        </w:r>
        <w:r w:rsidR="00C95C0B">
          <w:rPr>
            <w:noProof/>
            <w:webHidden/>
          </w:rPr>
          <w:fldChar w:fldCharType="end"/>
        </w:r>
      </w:hyperlink>
    </w:p>
    <w:p w:rsidR="00C95C0B" w:rsidRDefault="00C522E6">
      <w:pPr>
        <w:pStyle w:val="TableofFigures"/>
        <w:tabs>
          <w:tab w:val="right" w:leader="dot" w:pos="9064"/>
        </w:tabs>
        <w:rPr>
          <w:rFonts w:asciiTheme="minorHAnsi" w:eastAsiaTheme="minorEastAsia" w:hAnsiTheme="minorHAnsi" w:cstheme="minorBidi"/>
          <w:noProof/>
          <w:szCs w:val="22"/>
          <w:lang w:val="en-AU" w:eastAsia="en-AU"/>
        </w:rPr>
      </w:pPr>
      <w:hyperlink w:anchor="_Toc496019901" w:history="1">
        <w:r w:rsidR="00C95C0B" w:rsidRPr="008F7588">
          <w:rPr>
            <w:rStyle w:val="Hyperlink"/>
            <w:noProof/>
          </w:rPr>
          <w:t>Figure 3 Alleged rape incidents in out-of-home care reported to the Commission in 2016-17</w:t>
        </w:r>
        <w:r w:rsidR="00C95C0B">
          <w:rPr>
            <w:noProof/>
            <w:webHidden/>
          </w:rPr>
          <w:tab/>
        </w:r>
        <w:r w:rsidR="00C95C0B">
          <w:rPr>
            <w:noProof/>
            <w:webHidden/>
          </w:rPr>
          <w:fldChar w:fldCharType="begin"/>
        </w:r>
        <w:r w:rsidR="00C95C0B">
          <w:rPr>
            <w:noProof/>
            <w:webHidden/>
          </w:rPr>
          <w:instrText xml:space="preserve"> PAGEREF _Toc496019901 \h </w:instrText>
        </w:r>
        <w:r w:rsidR="00C95C0B">
          <w:rPr>
            <w:noProof/>
            <w:webHidden/>
          </w:rPr>
        </w:r>
        <w:r w:rsidR="00C95C0B">
          <w:rPr>
            <w:noProof/>
            <w:webHidden/>
          </w:rPr>
          <w:fldChar w:fldCharType="separate"/>
        </w:r>
        <w:r w:rsidR="00C95C0B">
          <w:rPr>
            <w:noProof/>
            <w:webHidden/>
          </w:rPr>
          <w:t>38</w:t>
        </w:r>
        <w:r w:rsidR="00C95C0B">
          <w:rPr>
            <w:noProof/>
            <w:webHidden/>
          </w:rPr>
          <w:fldChar w:fldCharType="end"/>
        </w:r>
      </w:hyperlink>
    </w:p>
    <w:p w:rsidR="003F6306" w:rsidRDefault="00C95C0B">
      <w:pPr>
        <w:spacing w:before="0"/>
        <w:rPr>
          <w:rFonts w:eastAsiaTheme="majorEastAsia"/>
          <w:b/>
          <w:sz w:val="28"/>
          <w:szCs w:val="32"/>
        </w:rPr>
      </w:pPr>
      <w:r>
        <w:fldChar w:fldCharType="end"/>
      </w:r>
      <w:r w:rsidR="003F6306">
        <w:br w:type="page"/>
      </w:r>
    </w:p>
    <w:p w:rsidR="007A01BD" w:rsidRPr="003F6306" w:rsidRDefault="00F82531" w:rsidP="003F6306">
      <w:pPr>
        <w:pStyle w:val="Heading1"/>
        <w:rPr>
          <w:b w:val="0"/>
        </w:rPr>
      </w:pPr>
      <w:bookmarkStart w:id="1" w:name="_Toc496019808"/>
      <w:r w:rsidRPr="003F6306">
        <w:lastRenderedPageBreak/>
        <w:t>Definitions</w:t>
      </w:r>
      <w:bookmarkEnd w:id="1"/>
    </w:p>
    <w:p w:rsidR="007A01BD" w:rsidRPr="003F6306" w:rsidRDefault="00F82531">
      <w:pPr>
        <w:pStyle w:val="Heading2"/>
        <w:spacing w:before="92"/>
      </w:pPr>
      <w:bookmarkStart w:id="2" w:name="_TOC_250034"/>
      <w:bookmarkStart w:id="3" w:name="_Toc496019809"/>
      <w:bookmarkEnd w:id="2"/>
      <w:r w:rsidRPr="003F6306">
        <w:t>Language in this report</w:t>
      </w:r>
      <w:bookmarkEnd w:id="3"/>
    </w:p>
    <w:p w:rsidR="007A01BD" w:rsidRPr="003F6306" w:rsidRDefault="00F82531" w:rsidP="003F6306">
      <w:r w:rsidRPr="003F6306">
        <w:t>The term ‘Aboriginal’ used in this report refers to both Aboriginal and Torres  Strait Islander peoples.</w:t>
      </w:r>
    </w:p>
    <w:p w:rsidR="007A01BD" w:rsidRPr="003F6306" w:rsidRDefault="00F82531">
      <w:pPr>
        <w:pStyle w:val="Heading2"/>
      </w:pPr>
      <w:bookmarkStart w:id="4" w:name="_TOC_250033"/>
      <w:bookmarkStart w:id="5" w:name="_Toc496019810"/>
      <w:bookmarkEnd w:id="4"/>
      <w:r w:rsidRPr="003F6306">
        <w:t>Case studies</w:t>
      </w:r>
      <w:bookmarkEnd w:id="5"/>
    </w:p>
    <w:p w:rsidR="007A01BD" w:rsidRPr="003F6306" w:rsidRDefault="00F82531" w:rsidP="003F6306">
      <w:r w:rsidRPr="003F6306">
        <w:t xml:space="preserve">Case studies have been included to illustrate the work of the Commission and key themes arising  from our inquiries. Pseudonyms have been used and details of the cases have been altered to protect the privacy of the people to whom they </w:t>
      </w:r>
      <w:r w:rsidRPr="003F6306">
        <w:rPr>
          <w:spacing w:val="-3"/>
        </w:rPr>
        <w:t xml:space="preserve">refer. </w:t>
      </w:r>
      <w:r w:rsidRPr="003F6306">
        <w:t>Stock photographs and sketches have also been used to protect children’s identities.</w:t>
      </w:r>
    </w:p>
    <w:p w:rsidR="007A01BD" w:rsidRPr="003F6306" w:rsidRDefault="00F82531" w:rsidP="003F6306">
      <w:pPr>
        <w:pStyle w:val="Heading2"/>
      </w:pPr>
      <w:bookmarkStart w:id="6" w:name="_TOC_250032"/>
      <w:bookmarkStart w:id="7" w:name="_Toc496019811"/>
      <w:bookmarkEnd w:id="6"/>
      <w:r w:rsidRPr="003F6306">
        <w:t>Abbreviations and acronyms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1"/>
      </w:tblGrid>
      <w:tr w:rsidR="00E93D39" w:rsidRPr="00E93D39" w:rsidTr="00E93D39">
        <w:tc>
          <w:tcPr>
            <w:tcW w:w="1809" w:type="dxa"/>
          </w:tcPr>
          <w:p w:rsidR="00E93D39" w:rsidRPr="00E93D39" w:rsidRDefault="00E93D39" w:rsidP="00D31FB8">
            <w:r w:rsidRPr="00E93D39">
              <w:t>ACCO</w:t>
            </w:r>
          </w:p>
        </w:tc>
        <w:tc>
          <w:tcPr>
            <w:tcW w:w="7481" w:type="dxa"/>
          </w:tcPr>
          <w:p w:rsidR="00E93D39" w:rsidRPr="00E93D39" w:rsidRDefault="00E93D39" w:rsidP="00D31FB8">
            <w:r w:rsidRPr="00E93D39">
              <w:t>Aboriginal Community</w:t>
            </w:r>
            <w:r w:rsidRPr="00E93D39">
              <w:rPr>
                <w:spacing w:val="21"/>
              </w:rPr>
              <w:t xml:space="preserve"> </w:t>
            </w:r>
            <w:r w:rsidRPr="00E93D39">
              <w:t>Controlled</w:t>
            </w:r>
            <w:r w:rsidRPr="00E93D39">
              <w:rPr>
                <w:spacing w:val="11"/>
              </w:rPr>
              <w:t xml:space="preserve"> </w:t>
            </w:r>
            <w:r w:rsidRPr="00E93D39">
              <w:t xml:space="preserve">Organisation </w:t>
            </w:r>
          </w:p>
        </w:tc>
      </w:tr>
      <w:tr w:rsidR="00E93D39" w:rsidRPr="00E93D39" w:rsidTr="00E93D39">
        <w:tc>
          <w:tcPr>
            <w:tcW w:w="1809" w:type="dxa"/>
          </w:tcPr>
          <w:p w:rsidR="00E93D39" w:rsidRPr="00E93D39" w:rsidRDefault="00E93D39" w:rsidP="00D31FB8">
            <w:r w:rsidRPr="00E93D39">
              <w:t>ACF</w:t>
            </w:r>
          </w:p>
        </w:tc>
        <w:tc>
          <w:tcPr>
            <w:tcW w:w="7481" w:type="dxa"/>
          </w:tcPr>
          <w:p w:rsidR="00E93D39" w:rsidRPr="00E93D39" w:rsidRDefault="00E93D39" w:rsidP="00D31FB8">
            <w:r w:rsidRPr="00E93D39">
              <w:t>Aboriginal Children’s Forum</w:t>
            </w:r>
          </w:p>
        </w:tc>
      </w:tr>
      <w:tr w:rsidR="00E93D39" w:rsidRPr="00E93D39" w:rsidTr="00E93D39">
        <w:tc>
          <w:tcPr>
            <w:tcW w:w="1809" w:type="dxa"/>
          </w:tcPr>
          <w:p w:rsidR="00E93D39" w:rsidRPr="00E93D39" w:rsidRDefault="00E93D39" w:rsidP="00D31FB8">
            <w:r w:rsidRPr="00E93D39">
              <w:t>ACPP</w:t>
            </w:r>
          </w:p>
        </w:tc>
        <w:tc>
          <w:tcPr>
            <w:tcW w:w="7481" w:type="dxa"/>
          </w:tcPr>
          <w:p w:rsidR="00E93D39" w:rsidRPr="00E93D39" w:rsidRDefault="00E93D39" w:rsidP="00D31FB8">
            <w:r w:rsidRPr="00E93D39">
              <w:t>Aboriginal Child Placement</w:t>
            </w:r>
            <w:r w:rsidRPr="00E93D39">
              <w:rPr>
                <w:spacing w:val="20"/>
              </w:rPr>
              <w:t xml:space="preserve"> </w:t>
            </w:r>
            <w:r w:rsidRPr="00E93D39">
              <w:t>Principle</w:t>
            </w:r>
          </w:p>
        </w:tc>
      </w:tr>
      <w:tr w:rsidR="00E93D39" w:rsidRPr="00E93D39" w:rsidTr="00E93D39">
        <w:tc>
          <w:tcPr>
            <w:tcW w:w="1809" w:type="dxa"/>
          </w:tcPr>
          <w:p w:rsidR="00E93D39" w:rsidRPr="00E93D39" w:rsidRDefault="00E93D39" w:rsidP="00D31FB8">
            <w:r w:rsidRPr="00E93D39">
              <w:t>ACSASS</w:t>
            </w:r>
          </w:p>
        </w:tc>
        <w:tc>
          <w:tcPr>
            <w:tcW w:w="7481" w:type="dxa"/>
          </w:tcPr>
          <w:p w:rsidR="00E93D39" w:rsidRPr="00E93D39" w:rsidRDefault="00E93D39" w:rsidP="00D31FB8">
            <w:r w:rsidRPr="00E93D39">
              <w:t>Aboriginal Child Specialist Advice and</w:t>
            </w:r>
            <w:r w:rsidRPr="00E93D39">
              <w:rPr>
                <w:spacing w:val="38"/>
              </w:rPr>
              <w:t xml:space="preserve"> </w:t>
            </w:r>
            <w:r w:rsidRPr="00E93D39">
              <w:t>Support</w:t>
            </w:r>
            <w:r w:rsidRPr="00E93D39">
              <w:rPr>
                <w:spacing w:val="7"/>
              </w:rPr>
              <w:t xml:space="preserve"> </w:t>
            </w:r>
            <w:r w:rsidRPr="00E93D39">
              <w:t>Service</w:t>
            </w:r>
          </w:p>
        </w:tc>
      </w:tr>
      <w:tr w:rsidR="00E93D39" w:rsidRPr="00E93D39" w:rsidTr="00E93D39">
        <w:tc>
          <w:tcPr>
            <w:tcW w:w="1809" w:type="dxa"/>
          </w:tcPr>
          <w:p w:rsidR="00E93D39" w:rsidRPr="00E93D39" w:rsidRDefault="00E93D39" w:rsidP="00D31FB8">
            <w:r w:rsidRPr="00E93D39">
              <w:t>AIAP</w:t>
            </w:r>
          </w:p>
        </w:tc>
        <w:tc>
          <w:tcPr>
            <w:tcW w:w="7481" w:type="dxa"/>
          </w:tcPr>
          <w:p w:rsidR="00E93D39" w:rsidRPr="00E93D39" w:rsidRDefault="00E93D39" w:rsidP="00D31FB8">
            <w:r w:rsidRPr="00E93D39">
              <w:t>Aboriginal Inclusion Action</w:t>
            </w:r>
            <w:r w:rsidRPr="00E93D39">
              <w:rPr>
                <w:spacing w:val="20"/>
              </w:rPr>
              <w:t xml:space="preserve"> </w:t>
            </w:r>
            <w:r w:rsidRPr="00E93D39">
              <w:t>Plan</w:t>
            </w:r>
          </w:p>
        </w:tc>
      </w:tr>
      <w:tr w:rsidR="00E93D39" w:rsidRPr="00E93D39" w:rsidTr="00E93D39">
        <w:tc>
          <w:tcPr>
            <w:tcW w:w="1809" w:type="dxa"/>
          </w:tcPr>
          <w:p w:rsidR="00E93D39" w:rsidRPr="00E93D39" w:rsidRDefault="00E93D39" w:rsidP="00D31FB8">
            <w:r w:rsidRPr="00E93D39">
              <w:t>AJF</w:t>
            </w:r>
          </w:p>
        </w:tc>
        <w:tc>
          <w:tcPr>
            <w:tcW w:w="7481" w:type="dxa"/>
          </w:tcPr>
          <w:p w:rsidR="00E93D39" w:rsidRPr="00E93D39" w:rsidRDefault="00E93D39" w:rsidP="00D31FB8">
            <w:r w:rsidRPr="00E93D39">
              <w:t>Aboriginal Justice</w:t>
            </w:r>
            <w:r w:rsidRPr="00E93D39">
              <w:rPr>
                <w:spacing w:val="13"/>
              </w:rPr>
              <w:t xml:space="preserve"> </w:t>
            </w:r>
            <w:r w:rsidRPr="00E93D39">
              <w:t>Forum</w:t>
            </w:r>
          </w:p>
        </w:tc>
      </w:tr>
      <w:tr w:rsidR="00E93D39" w:rsidRPr="00E93D39" w:rsidTr="00E93D39">
        <w:tc>
          <w:tcPr>
            <w:tcW w:w="1809" w:type="dxa"/>
          </w:tcPr>
          <w:p w:rsidR="00E93D39" w:rsidRPr="00E93D39" w:rsidRDefault="00E93D39" w:rsidP="00D31FB8">
            <w:r w:rsidRPr="00E93D39">
              <w:t>CCYP</w:t>
            </w:r>
            <w:r w:rsidRPr="00E93D39">
              <w:rPr>
                <w:spacing w:val="-1"/>
              </w:rPr>
              <w:t xml:space="preserve"> </w:t>
            </w:r>
            <w:r w:rsidRPr="00E93D39">
              <w:t>Act</w:t>
            </w:r>
          </w:p>
        </w:tc>
        <w:tc>
          <w:tcPr>
            <w:tcW w:w="7481" w:type="dxa"/>
          </w:tcPr>
          <w:p w:rsidR="00E93D39" w:rsidRPr="00E93D39" w:rsidRDefault="00E93D39" w:rsidP="00D31FB8">
            <w:r w:rsidRPr="00E93D39">
              <w:t>Commission for Children and Young People Act</w:t>
            </w:r>
            <w:r w:rsidRPr="00E93D39">
              <w:rPr>
                <w:spacing w:val="22"/>
              </w:rPr>
              <w:t xml:space="preserve"> </w:t>
            </w:r>
            <w:r w:rsidRPr="00E93D39">
              <w:rPr>
                <w:spacing w:val="-5"/>
              </w:rPr>
              <w:t>2012</w:t>
            </w:r>
          </w:p>
        </w:tc>
      </w:tr>
      <w:tr w:rsidR="00E93D39" w:rsidRPr="00E93D39" w:rsidTr="00E93D39">
        <w:tc>
          <w:tcPr>
            <w:tcW w:w="1809" w:type="dxa"/>
          </w:tcPr>
          <w:p w:rsidR="00E93D39" w:rsidRPr="00E93D39" w:rsidRDefault="00E93D39" w:rsidP="00D31FB8">
            <w:r w:rsidRPr="00E93D39">
              <w:t>CSO</w:t>
            </w:r>
          </w:p>
        </w:tc>
        <w:tc>
          <w:tcPr>
            <w:tcW w:w="7481" w:type="dxa"/>
          </w:tcPr>
          <w:p w:rsidR="00E93D39" w:rsidRPr="00E93D39" w:rsidRDefault="00E93D39" w:rsidP="00D31FB8">
            <w:r w:rsidRPr="00E93D39">
              <w:t>Community sector</w:t>
            </w:r>
            <w:r w:rsidRPr="00E93D39">
              <w:rPr>
                <w:spacing w:val="20"/>
              </w:rPr>
              <w:t xml:space="preserve"> </w:t>
            </w:r>
            <w:r w:rsidRPr="00E93D39">
              <w:t>organisation</w:t>
            </w:r>
          </w:p>
        </w:tc>
      </w:tr>
      <w:tr w:rsidR="00E93D39" w:rsidRPr="00E93D39" w:rsidTr="00E93D39">
        <w:tc>
          <w:tcPr>
            <w:tcW w:w="1809" w:type="dxa"/>
          </w:tcPr>
          <w:p w:rsidR="00E93D39" w:rsidRPr="00E93D39" w:rsidRDefault="00E93D39" w:rsidP="00D31FB8">
            <w:r w:rsidRPr="00E93D39">
              <w:t>CYF</w:t>
            </w:r>
            <w:r w:rsidRPr="00E93D39">
              <w:rPr>
                <w:spacing w:val="-1"/>
              </w:rPr>
              <w:t xml:space="preserve"> </w:t>
            </w:r>
            <w:r w:rsidRPr="00E93D39">
              <w:t>Act</w:t>
            </w:r>
          </w:p>
        </w:tc>
        <w:tc>
          <w:tcPr>
            <w:tcW w:w="7481" w:type="dxa"/>
          </w:tcPr>
          <w:p w:rsidR="00E93D39" w:rsidRPr="00E93D39" w:rsidRDefault="00E93D39" w:rsidP="00D31FB8">
            <w:r w:rsidRPr="00E93D39">
              <w:t>Children, Youth and Families Act</w:t>
            </w:r>
            <w:r w:rsidRPr="00E93D39">
              <w:rPr>
                <w:spacing w:val="12"/>
              </w:rPr>
              <w:t xml:space="preserve"> </w:t>
            </w:r>
            <w:r w:rsidRPr="00E93D39">
              <w:t>2005</w:t>
            </w:r>
          </w:p>
        </w:tc>
      </w:tr>
      <w:tr w:rsidR="00E93D39" w:rsidRPr="00E93D39" w:rsidTr="00E93D39">
        <w:tc>
          <w:tcPr>
            <w:tcW w:w="1809" w:type="dxa"/>
          </w:tcPr>
          <w:p w:rsidR="00E93D39" w:rsidRPr="00E93D39" w:rsidRDefault="00E93D39" w:rsidP="00D31FB8">
            <w:r w:rsidRPr="00E93D39">
              <w:t>DELWP</w:t>
            </w:r>
          </w:p>
        </w:tc>
        <w:tc>
          <w:tcPr>
            <w:tcW w:w="7481" w:type="dxa"/>
          </w:tcPr>
          <w:p w:rsidR="00E93D39" w:rsidRPr="00E93D39" w:rsidRDefault="00E93D39" w:rsidP="00E93D39">
            <w:r w:rsidRPr="00E93D39">
              <w:t>Department of Environment, Land, Water</w:t>
            </w:r>
            <w:r w:rsidRPr="00E93D39">
              <w:rPr>
                <w:spacing w:val="20"/>
              </w:rPr>
              <w:t xml:space="preserve"> </w:t>
            </w:r>
            <w:r w:rsidRPr="00E93D39">
              <w:t>and</w:t>
            </w:r>
            <w:r w:rsidRPr="00E93D39">
              <w:rPr>
                <w:spacing w:val="3"/>
              </w:rPr>
              <w:t xml:space="preserve"> </w:t>
            </w:r>
            <w:r w:rsidRPr="00E93D39">
              <w:t xml:space="preserve">Planning </w:t>
            </w:r>
          </w:p>
        </w:tc>
      </w:tr>
      <w:tr w:rsidR="00E93D39" w:rsidRPr="00E93D39" w:rsidTr="00E93D39">
        <w:tc>
          <w:tcPr>
            <w:tcW w:w="1809" w:type="dxa"/>
          </w:tcPr>
          <w:p w:rsidR="00E93D39" w:rsidRPr="00E93D39" w:rsidRDefault="00E93D39" w:rsidP="00D31FB8">
            <w:r w:rsidRPr="00E93D39">
              <w:t>DET</w:t>
            </w:r>
          </w:p>
        </w:tc>
        <w:tc>
          <w:tcPr>
            <w:tcW w:w="7481" w:type="dxa"/>
          </w:tcPr>
          <w:p w:rsidR="00E93D39" w:rsidRPr="00E93D39" w:rsidRDefault="00E93D39" w:rsidP="00D31FB8">
            <w:r w:rsidRPr="00E93D39">
              <w:t>Department of Education and</w:t>
            </w:r>
            <w:r w:rsidRPr="00E93D39">
              <w:rPr>
                <w:spacing w:val="7"/>
              </w:rPr>
              <w:t xml:space="preserve"> </w:t>
            </w:r>
            <w:r w:rsidRPr="00E93D39">
              <w:t>Training</w:t>
            </w:r>
          </w:p>
        </w:tc>
      </w:tr>
      <w:tr w:rsidR="00E93D39" w:rsidRPr="00E93D39" w:rsidTr="00E93D39">
        <w:tc>
          <w:tcPr>
            <w:tcW w:w="1809" w:type="dxa"/>
          </w:tcPr>
          <w:p w:rsidR="00E93D39" w:rsidRPr="00E93D39" w:rsidRDefault="00E93D39" w:rsidP="00D31FB8">
            <w:r w:rsidRPr="00E93D39">
              <w:t>DHHS</w:t>
            </w:r>
          </w:p>
        </w:tc>
        <w:tc>
          <w:tcPr>
            <w:tcW w:w="7481" w:type="dxa"/>
          </w:tcPr>
          <w:p w:rsidR="00E93D39" w:rsidRPr="00E93D39" w:rsidRDefault="00E93D39" w:rsidP="00E93D39">
            <w:r w:rsidRPr="00E93D39">
              <w:t>Department of Health and</w:t>
            </w:r>
            <w:r w:rsidRPr="00E93D39">
              <w:rPr>
                <w:spacing w:val="32"/>
              </w:rPr>
              <w:t xml:space="preserve"> </w:t>
            </w:r>
            <w:r w:rsidRPr="00E93D39">
              <w:t>Human</w:t>
            </w:r>
            <w:r w:rsidRPr="00E93D39">
              <w:rPr>
                <w:spacing w:val="7"/>
              </w:rPr>
              <w:t xml:space="preserve"> </w:t>
            </w:r>
            <w:r w:rsidRPr="00E93D39">
              <w:t xml:space="preserve">Services </w:t>
            </w:r>
          </w:p>
        </w:tc>
      </w:tr>
      <w:tr w:rsidR="00E93D39" w:rsidRPr="00E93D39" w:rsidTr="00E93D39">
        <w:tc>
          <w:tcPr>
            <w:tcW w:w="1809" w:type="dxa"/>
          </w:tcPr>
          <w:p w:rsidR="00E93D39" w:rsidRPr="00E93D39" w:rsidRDefault="00E93D39" w:rsidP="00D31FB8">
            <w:r w:rsidRPr="00E93D39">
              <w:t>DJR</w:t>
            </w:r>
          </w:p>
        </w:tc>
        <w:tc>
          <w:tcPr>
            <w:tcW w:w="7481" w:type="dxa"/>
          </w:tcPr>
          <w:p w:rsidR="00E93D39" w:rsidRPr="00E93D39" w:rsidRDefault="00E93D39" w:rsidP="00D31FB8">
            <w:r w:rsidRPr="00E93D39">
              <w:t>Department of Justice and</w:t>
            </w:r>
            <w:r w:rsidRPr="00E93D39">
              <w:rPr>
                <w:spacing w:val="27"/>
              </w:rPr>
              <w:t xml:space="preserve"> </w:t>
            </w:r>
            <w:r w:rsidRPr="00E93D39">
              <w:t>Regulation</w:t>
            </w:r>
          </w:p>
        </w:tc>
      </w:tr>
      <w:tr w:rsidR="00E93D39" w:rsidRPr="00E93D39" w:rsidTr="00E93D39">
        <w:tc>
          <w:tcPr>
            <w:tcW w:w="1809" w:type="dxa"/>
          </w:tcPr>
          <w:p w:rsidR="00E93D39" w:rsidRPr="00E93D39" w:rsidRDefault="00E93D39" w:rsidP="00D31FB8">
            <w:pPr>
              <w:rPr>
                <w:spacing w:val="2"/>
              </w:rPr>
            </w:pPr>
            <w:r w:rsidRPr="00E93D39">
              <w:rPr>
                <w:spacing w:val="2"/>
              </w:rPr>
              <w:t>KAE</w:t>
            </w:r>
          </w:p>
        </w:tc>
        <w:tc>
          <w:tcPr>
            <w:tcW w:w="7481" w:type="dxa"/>
          </w:tcPr>
          <w:p w:rsidR="00E93D39" w:rsidRPr="00E93D39" w:rsidRDefault="00E93D39" w:rsidP="00E93D39">
            <w:pPr>
              <w:rPr>
                <w:spacing w:val="-4"/>
              </w:rPr>
            </w:pPr>
            <w:r w:rsidRPr="00E93D39">
              <w:t>Koori Advisory and</w:t>
            </w:r>
            <w:r w:rsidRPr="00E93D39">
              <w:rPr>
                <w:spacing w:val="15"/>
              </w:rPr>
              <w:t xml:space="preserve"> </w:t>
            </w:r>
            <w:r w:rsidRPr="00E93D39">
              <w:t>Engagement</w:t>
            </w:r>
            <w:r w:rsidRPr="00E93D39">
              <w:rPr>
                <w:spacing w:val="5"/>
              </w:rPr>
              <w:t xml:space="preserve"> </w:t>
            </w:r>
            <w:r w:rsidRPr="00E93D39">
              <w:t xml:space="preserve">unit </w:t>
            </w:r>
          </w:p>
        </w:tc>
      </w:tr>
      <w:tr w:rsidR="00E93D39" w:rsidRPr="00E93D39" w:rsidTr="00E93D39">
        <w:tc>
          <w:tcPr>
            <w:tcW w:w="1809" w:type="dxa"/>
          </w:tcPr>
          <w:p w:rsidR="00E93D39" w:rsidRPr="00E93D39" w:rsidRDefault="00E93D39" w:rsidP="00E93D39">
            <w:r w:rsidRPr="00E93D39">
              <w:rPr>
                <w:spacing w:val="-4"/>
              </w:rPr>
              <w:t>VACCA</w:t>
            </w:r>
            <w:r w:rsidRPr="00E93D39">
              <w:t xml:space="preserve"> </w:t>
            </w:r>
          </w:p>
        </w:tc>
        <w:tc>
          <w:tcPr>
            <w:tcW w:w="7481" w:type="dxa"/>
          </w:tcPr>
          <w:p w:rsidR="00E93D39" w:rsidRPr="00E93D39" w:rsidRDefault="00E93D39" w:rsidP="00D31FB8">
            <w:r w:rsidRPr="00E93D39">
              <w:t>Victorian Aboriginal Child Care</w:t>
            </w:r>
            <w:r w:rsidRPr="00E93D39">
              <w:rPr>
                <w:spacing w:val="21"/>
              </w:rPr>
              <w:t xml:space="preserve"> </w:t>
            </w:r>
            <w:r w:rsidRPr="00E93D39">
              <w:t>Agency</w:t>
            </w:r>
          </w:p>
        </w:tc>
      </w:tr>
      <w:tr w:rsidR="00E93D39" w:rsidRPr="00E93D39" w:rsidTr="00E93D39">
        <w:tc>
          <w:tcPr>
            <w:tcW w:w="1809" w:type="dxa"/>
          </w:tcPr>
          <w:p w:rsidR="00E93D39" w:rsidRPr="00E93D39" w:rsidRDefault="00E93D39" w:rsidP="00D31FB8">
            <w:pPr>
              <w:rPr>
                <w:spacing w:val="-3"/>
              </w:rPr>
            </w:pPr>
            <w:r w:rsidRPr="00E93D39">
              <w:rPr>
                <w:spacing w:val="-3"/>
              </w:rPr>
              <w:t>VACCHO</w:t>
            </w:r>
          </w:p>
        </w:tc>
        <w:tc>
          <w:tcPr>
            <w:tcW w:w="7481" w:type="dxa"/>
          </w:tcPr>
          <w:p w:rsidR="00E93D39" w:rsidRPr="00E93D39" w:rsidRDefault="00E93D39" w:rsidP="00E93D39">
            <w:r w:rsidRPr="00E93D39">
              <w:t>Victorian Aboriginal Community Controlled</w:t>
            </w:r>
            <w:r w:rsidRPr="00E93D39">
              <w:rPr>
                <w:spacing w:val="37"/>
              </w:rPr>
              <w:t xml:space="preserve"> </w:t>
            </w:r>
            <w:r w:rsidRPr="00E93D39">
              <w:t>Health</w:t>
            </w:r>
            <w:r w:rsidRPr="00E93D39">
              <w:rPr>
                <w:spacing w:val="8"/>
              </w:rPr>
              <w:t xml:space="preserve"> </w:t>
            </w:r>
            <w:r w:rsidRPr="00E93D39">
              <w:t xml:space="preserve">Organisation </w:t>
            </w:r>
          </w:p>
        </w:tc>
      </w:tr>
      <w:tr w:rsidR="00E93D39" w:rsidRPr="00E93D39" w:rsidTr="00E93D39">
        <w:tc>
          <w:tcPr>
            <w:tcW w:w="1809" w:type="dxa"/>
          </w:tcPr>
          <w:p w:rsidR="00E93D39" w:rsidRPr="00E93D39" w:rsidRDefault="00E93D39" w:rsidP="00D31FB8">
            <w:r w:rsidRPr="00E93D39">
              <w:t>VRQA</w:t>
            </w:r>
          </w:p>
        </w:tc>
        <w:tc>
          <w:tcPr>
            <w:tcW w:w="7481" w:type="dxa"/>
          </w:tcPr>
          <w:p w:rsidR="00E93D39" w:rsidRPr="00E93D39" w:rsidRDefault="00E93D39" w:rsidP="00D31FB8">
            <w:r w:rsidRPr="00E93D39">
              <w:t>Victorian Registration and Qualifications</w:t>
            </w:r>
            <w:r w:rsidRPr="00E93D39">
              <w:rPr>
                <w:spacing w:val="35"/>
              </w:rPr>
              <w:t xml:space="preserve"> </w:t>
            </w:r>
            <w:r w:rsidRPr="00E93D39">
              <w:t>Authority</w:t>
            </w:r>
          </w:p>
        </w:tc>
      </w:tr>
    </w:tbl>
    <w:p w:rsidR="00C74A3D" w:rsidRDefault="00C74A3D" w:rsidP="00540D7A">
      <w:pPr>
        <w:pStyle w:val="Heading1"/>
        <w:sectPr w:rsidR="00C74A3D" w:rsidSect="005E2801">
          <w:footerReference w:type="default" r:id="rId13"/>
          <w:pgSz w:w="11910" w:h="16840"/>
          <w:pgMar w:top="1134" w:right="1418" w:bottom="1701" w:left="1418" w:header="720" w:footer="720" w:gutter="0"/>
          <w:cols w:space="720"/>
        </w:sectPr>
      </w:pPr>
      <w:bookmarkStart w:id="8" w:name="_TOC_250031"/>
      <w:bookmarkStart w:id="9" w:name="_Toc496019812"/>
      <w:bookmarkEnd w:id="8"/>
    </w:p>
    <w:p w:rsidR="00540D7A" w:rsidRDefault="00F82531" w:rsidP="00540D7A">
      <w:pPr>
        <w:pStyle w:val="Heading1"/>
      </w:pPr>
      <w:r w:rsidRPr="003F6306">
        <w:lastRenderedPageBreak/>
        <w:t>From the Principal Commissioner</w:t>
      </w:r>
      <w:bookmarkEnd w:id="9"/>
    </w:p>
    <w:p w:rsidR="007A01BD" w:rsidRPr="003F6306" w:rsidRDefault="00F82531" w:rsidP="00540D7A">
      <w:r w:rsidRPr="003F6306">
        <w:t>The past year has seen significant reform across a range of policy areas affecting children and young people in Victoria. It has also been a year of change for the Commission, as we added to our existing oversight and advocacy functions, and assumed the role of regulator for two new schemes designed to safeguard children from harm and abuse.</w:t>
      </w:r>
    </w:p>
    <w:p w:rsidR="007A01BD" w:rsidRPr="003F6306" w:rsidRDefault="00F82531" w:rsidP="00540D7A">
      <w:r w:rsidRPr="003F6306">
        <w:t xml:space="preserve">Victoria’s landmark </w:t>
      </w:r>
      <w:r w:rsidRPr="003F6306">
        <w:rPr>
          <w:i/>
        </w:rPr>
        <w:t xml:space="preserve">Betrayal of Trust </w:t>
      </w:r>
      <w:r w:rsidRPr="003F6306">
        <w:t>parliamentary inquiry outlined a range of reforms to prevent and respond to child abuse in organisations. The Child Safe Standards and the Reportable Conduct Scheme were among those recommendations.</w:t>
      </w:r>
    </w:p>
    <w:p w:rsidR="007A01BD" w:rsidRPr="003F6306" w:rsidRDefault="00F82531" w:rsidP="00540D7A">
      <w:r w:rsidRPr="003F6306">
        <w:t xml:space="preserve">The Child Safe Standards are principles-based requirements directed at ensuring organisations have child-centred policies, processes and practices that promote safety, and empower children and young people to exercise their  right to have a say in matters that affect them. In </w:t>
      </w:r>
      <w:r w:rsidRPr="003F6306">
        <w:rPr>
          <w:spacing w:val="-5"/>
        </w:rPr>
        <w:t xml:space="preserve">2016–17 </w:t>
      </w:r>
      <w:r w:rsidRPr="003F6306">
        <w:t>we supported organisations to implement the standards through information sessions, awareness-raising campaigns, our dedicated helpline and resources. Over time, the standards will operate to ensure safe</w:t>
      </w:r>
      <w:r w:rsidRPr="003F6306">
        <w:rPr>
          <w:spacing w:val="17"/>
        </w:rPr>
        <w:t xml:space="preserve"> </w:t>
      </w:r>
      <w:r w:rsidRPr="003F6306">
        <w:t>and</w:t>
      </w:r>
      <w:r w:rsidR="00540D7A">
        <w:t xml:space="preserve"> </w:t>
      </w:r>
      <w:r w:rsidRPr="003F6306">
        <w:t>accountable organisational cultures that prevent harm and abuse.</w:t>
      </w:r>
    </w:p>
    <w:p w:rsidR="007A01BD" w:rsidRPr="003F6306" w:rsidRDefault="00F82531" w:rsidP="00540D7A">
      <w:r w:rsidRPr="003F6306">
        <w:t>We also prepared for the commencement of the Reportable Conduct Scheme on 1 July 2017. The scheme introduces requirements for</w:t>
      </w:r>
      <w:r w:rsidR="00CD1DDC">
        <w:t xml:space="preserve"> </w:t>
      </w:r>
      <w:r w:rsidRPr="003F6306">
        <w:t>organisations that interact with children to report and investigate concerns or allegations of harm to the Commission. This will give us greater insight into how organisations manage known risks to children. We will be empowered to act</w:t>
      </w:r>
      <w:r w:rsidR="003F6306">
        <w:t xml:space="preserve"> </w:t>
      </w:r>
      <w:r w:rsidRPr="003F6306">
        <w:t>in a direct and systematic way to close existing loopholes, while reinforcing best practice. This will drive greater accountability and ensure children’s interests are consistently prioritised.</w:t>
      </w:r>
    </w:p>
    <w:p w:rsidR="007A01BD" w:rsidRPr="003F6306" w:rsidRDefault="00F82531" w:rsidP="00540D7A">
      <w:r w:rsidRPr="003F6306">
        <w:t>Implementing these schemes has given us the opportunity to build relationships with a wide range of organisations that interact with children in the community, private and public sectors.</w:t>
      </w:r>
    </w:p>
    <w:p w:rsidR="007A01BD" w:rsidRPr="003F6306" w:rsidRDefault="00F82531" w:rsidP="00540D7A">
      <w:r w:rsidRPr="003F6306">
        <w:t>More broadly, we welcomed a number of reforms within the child protection and family violence systems. The Victorian Government’s Roadmap to Reform seeks to</w:t>
      </w:r>
      <w:r w:rsidR="00CD1DDC">
        <w:t xml:space="preserve"> </w:t>
      </w:r>
      <w:r w:rsidRPr="003F6306">
        <w:t>address many of the shortcomings within the child protection and out-of-home care systems. We particularly welcome changes that reduce the number of children in residential care facilities and improve supports for children</w:t>
      </w:r>
      <w:r w:rsidR="00CD1DDC">
        <w:t xml:space="preserve"> </w:t>
      </w:r>
      <w:r w:rsidRPr="003F6306">
        <w:t>in home-based care. We also welcome the implementation of recommendations of the Royal Commission into Family Violence, which rightly found that children affected by family violence are often invisible and overlooked in current service systems.</w:t>
      </w:r>
    </w:p>
    <w:p w:rsidR="007A01BD" w:rsidRDefault="00F82531" w:rsidP="00540D7A">
      <w:r w:rsidRPr="003F6306">
        <w:t>It is our role to positively influence these reforms by ensuring the voices and experiences of children remain at the forefront of their design and implementation. This prevents a default focus on adults or an adult perspective of what children need. It is also our job to monitor responses to children here and now. Sadly,</w:t>
      </w:r>
      <w:r w:rsidR="00CD1DDC">
        <w:t xml:space="preserve"> </w:t>
      </w:r>
      <w:r w:rsidRPr="003F6306">
        <w:t>we see daily evidence that major room for improvement remains in how we respond to vulnerable children at risk of harm.</w:t>
      </w:r>
    </w:p>
    <w:p w:rsidR="007A01BD" w:rsidRDefault="00F82531" w:rsidP="00540D7A">
      <w:r w:rsidRPr="003F6306">
        <w:t>Not all areas of reform have been positive. The combination of a media focus on a small cohort of serious young offenders, with disturbances in a troubled and neglected youth justice system, placed a rehabilitative model for youth justice</w:t>
      </w:r>
      <w:r w:rsidR="00CD1DDC">
        <w:t xml:space="preserve"> </w:t>
      </w:r>
      <w:r w:rsidRPr="003F6306">
        <w:t xml:space="preserve">at risk. As Commissioner for Children and </w:t>
      </w:r>
      <w:r w:rsidRPr="003F6306">
        <w:rPr>
          <w:spacing w:val="-4"/>
        </w:rPr>
        <w:t xml:space="preserve">Young </w:t>
      </w:r>
      <w:r w:rsidRPr="003F6306">
        <w:t>People I have opposed the calls for an end to a differentiated response to children  in favour of more punitive approaches. The evidence clearly demonstrates punitive approaches are counterproductive and often entrench offending</w:t>
      </w:r>
      <w:r w:rsidRPr="003F6306">
        <w:rPr>
          <w:spacing w:val="-5"/>
        </w:rPr>
        <w:t xml:space="preserve"> </w:t>
      </w:r>
      <w:r w:rsidRPr="003F6306">
        <w:t>behaviour.</w:t>
      </w:r>
    </w:p>
    <w:p w:rsidR="007A01BD" w:rsidRPr="003F6306" w:rsidRDefault="00F82531" w:rsidP="00540D7A">
      <w:r w:rsidRPr="003F6306">
        <w:rPr>
          <w:spacing w:val="-3"/>
        </w:rPr>
        <w:t xml:space="preserve">We </w:t>
      </w:r>
      <w:r w:rsidRPr="003F6306">
        <w:t>highlighted our concerns over the treatment of children and young people held in a secure unit within the adult Barwon Prison. Our first-hand observation of conditions, and our direct engagement with the affected young people, resulted in improvements to their treatment during the six-month period the</w:t>
      </w:r>
      <w:r w:rsidRPr="003F6306">
        <w:rPr>
          <w:spacing w:val="15"/>
        </w:rPr>
        <w:t xml:space="preserve"> </w:t>
      </w:r>
      <w:r w:rsidRPr="003F6306">
        <w:t>unit</w:t>
      </w:r>
      <w:r w:rsidR="00CD1DDC">
        <w:t xml:space="preserve"> </w:t>
      </w:r>
      <w:r w:rsidRPr="003F6306">
        <w:t>was used, and ultimately informed the Supreme Court’s consideration of whether use of this unit was lawful.</w:t>
      </w:r>
    </w:p>
    <w:p w:rsidR="007A01BD" w:rsidRPr="003F6306" w:rsidRDefault="00F82531" w:rsidP="00540D7A">
      <w:r w:rsidRPr="003F6306">
        <w:lastRenderedPageBreak/>
        <w:t>Recent debate on youth offending has strengthened our resolve to educate the community about the causes of children’s offending, the evidence that underpins a differentiated youth justice model, and Victoria’s youth offending trends, which have been decreasing for successive years.</w:t>
      </w:r>
    </w:p>
    <w:p w:rsidR="00540D7A" w:rsidRDefault="00F82531" w:rsidP="00540D7A">
      <w:r w:rsidRPr="003F6306">
        <w:t>In the past year, we completed five major inquiries into systemic aspects of the child protection and youth justice systems, further strengthening our oversight and monitoring work. The four reports tabled during the past year reflect our key focus areas: family violence, youth justice and service responses to Koori children in out-of-home care.</w:t>
      </w:r>
    </w:p>
    <w:p w:rsidR="007A01BD" w:rsidRPr="003F6306" w:rsidRDefault="00F82531" w:rsidP="00540D7A">
      <w:r w:rsidRPr="003F6306">
        <w:t>Our inquiries highlighted systemic failures to identify and respond to risks of family violence and sexual abuse, non-compliance with requirements that ensure Koori children remain connected to their community and culture, and the mistreatment of young people in detention. We will continue to inquire into areas of concern to hold agencies accountable and drive continuous improvement.</w:t>
      </w:r>
    </w:p>
    <w:p w:rsidR="00CD1DDC" w:rsidRDefault="00F82531" w:rsidP="00540D7A">
      <w:r w:rsidRPr="003F6306">
        <w:t xml:space="preserve">Shortly after the end of </w:t>
      </w:r>
      <w:r w:rsidRPr="003F6306">
        <w:rPr>
          <w:spacing w:val="-5"/>
        </w:rPr>
        <w:t xml:space="preserve">2016–17 </w:t>
      </w:r>
      <w:r w:rsidRPr="003F6306">
        <w:t xml:space="preserve">my colleague Andrew Jackomos announced he would not seek reappointment when his term ends in June </w:t>
      </w:r>
      <w:r w:rsidRPr="003F6306">
        <w:rPr>
          <w:spacing w:val="-4"/>
        </w:rPr>
        <w:t xml:space="preserve">2018.  </w:t>
      </w:r>
      <w:r w:rsidRPr="003F6306">
        <w:t xml:space="preserve">As the inaugural Commissioner for Aboriginal Children and </w:t>
      </w:r>
      <w:r w:rsidRPr="003F6306">
        <w:rPr>
          <w:spacing w:val="-4"/>
        </w:rPr>
        <w:t>Young</w:t>
      </w:r>
      <w:r w:rsidRPr="003F6306">
        <w:rPr>
          <w:spacing w:val="23"/>
        </w:rPr>
        <w:t xml:space="preserve"> </w:t>
      </w:r>
      <w:r w:rsidRPr="003F6306">
        <w:t>People,</w:t>
      </w:r>
      <w:r w:rsidR="00CD1DDC">
        <w:t xml:space="preserve"> </w:t>
      </w:r>
      <w:r w:rsidRPr="003F6306">
        <w:t>Andrew has been instrumental in furthering our understanding of the plight of Koori children, who continue to be removed from their parents at an unacceptable rate and are routinely alienated from their family, community and culture when placed in out-of-home care.</w:t>
      </w:r>
    </w:p>
    <w:p w:rsidR="007A01BD" w:rsidRPr="003F6306" w:rsidRDefault="001B0147" w:rsidP="00540D7A">
      <w:r w:rsidRPr="003F6306">
        <w:t>A</w:t>
      </w:r>
      <w:r w:rsidR="00F82531" w:rsidRPr="003F6306">
        <w:t xml:space="preserve">ndrew is a persistent and passionate </w:t>
      </w:r>
      <w:r w:rsidR="00F82531" w:rsidRPr="003F6306">
        <w:rPr>
          <w:i/>
        </w:rPr>
        <w:t>advocate</w:t>
      </w:r>
      <w:r w:rsidR="00F82531" w:rsidRPr="003F6306">
        <w:t xml:space="preserve"> who can bridge divides and facilitate genuine partnerships. These qualities have led to significant commitments from government, community service organisations and the Aboriginal community to work together to reverse these devastating outcomes. I am</w:t>
      </w:r>
      <w:r w:rsidR="00CD1DDC">
        <w:t xml:space="preserve"> </w:t>
      </w:r>
      <w:r w:rsidR="00F82531" w:rsidRPr="003F6306">
        <w:t>incredibly sad that Andrew will not be continuing beyond next year but look forward to working alongside him in coming months as he</w:t>
      </w:r>
      <w:r w:rsidR="00CD1DDC">
        <w:t xml:space="preserve"> </w:t>
      </w:r>
      <w:r w:rsidR="00F82531" w:rsidRPr="003F6306">
        <w:t>embeds a range of reforms to improve the safety, wellbeing and cultural connectedness of Koori children.</w:t>
      </w:r>
    </w:p>
    <w:p w:rsidR="007A01BD" w:rsidRPr="003F6306" w:rsidRDefault="00F82531" w:rsidP="00540D7A">
      <w:r w:rsidRPr="003F6306">
        <w:t>I thank all Commission staff for a year of hard work and incredible commitment. In the past year, we farewelled a number of longstanding staff, and I acknowledge their significant contribution to the Commission over the years. With the addition of new functions and responsibilities, the Commission has grown and changed. We welcomed many new staff members who bring a range of skills and experience, all of which will help continue to</w:t>
      </w:r>
      <w:r w:rsidR="00CD1DDC">
        <w:t xml:space="preserve"> </w:t>
      </w:r>
      <w:r w:rsidRPr="003F6306">
        <w:t>build our capacity as a strong, independent and rigorous organisation.</w:t>
      </w:r>
    </w:p>
    <w:p w:rsidR="007A01BD" w:rsidRPr="003F6306" w:rsidRDefault="00F82531" w:rsidP="00540D7A">
      <w:r w:rsidRPr="003F6306">
        <w:t>I look forward to working with all of the Commission’s staff, our many valued stakeholders and, importantly, children and young people themselves as we defend, protect and realise the rights of children and young people in this state.</w:t>
      </w:r>
    </w:p>
    <w:p w:rsidR="00CD1DDC" w:rsidRDefault="00CD1DDC" w:rsidP="00540D7A">
      <w:pPr>
        <w:rPr>
          <w:rFonts w:ascii="HelveticaNeue-Light"/>
          <w:b/>
        </w:rPr>
      </w:pPr>
    </w:p>
    <w:p w:rsidR="007A01BD" w:rsidRPr="00CD1DDC" w:rsidRDefault="00F82531" w:rsidP="00540D7A">
      <w:pPr>
        <w:rPr>
          <w:rFonts w:ascii="HelveticaNeue-Light"/>
          <w:b/>
        </w:rPr>
      </w:pPr>
      <w:r w:rsidRPr="00CD1DDC">
        <w:rPr>
          <w:rFonts w:ascii="HelveticaNeue-Light"/>
          <w:b/>
        </w:rPr>
        <w:t>Liana Buchanan</w:t>
      </w:r>
    </w:p>
    <w:p w:rsidR="007A01BD" w:rsidRPr="00CD1DDC" w:rsidRDefault="00F82531" w:rsidP="00540D7A">
      <w:pPr>
        <w:rPr>
          <w:rFonts w:ascii="HelveticaNeue-Medium"/>
          <w:b/>
        </w:rPr>
      </w:pPr>
      <w:r w:rsidRPr="00CD1DDC">
        <w:rPr>
          <w:rFonts w:ascii="HelveticaNeue-Medium"/>
          <w:b/>
        </w:rPr>
        <w:t>Principal Commissioner</w:t>
      </w:r>
    </w:p>
    <w:p w:rsidR="00540D7A" w:rsidRDefault="00540D7A">
      <w:pPr>
        <w:spacing w:before="0"/>
        <w:rPr>
          <w:rFonts w:eastAsiaTheme="majorEastAsia"/>
          <w:b/>
          <w:spacing w:val="-13"/>
          <w:sz w:val="28"/>
          <w:szCs w:val="32"/>
        </w:rPr>
      </w:pPr>
      <w:bookmarkStart w:id="10" w:name="_TOC_250030"/>
      <w:r>
        <w:rPr>
          <w:spacing w:val="-13"/>
        </w:rPr>
        <w:br w:type="page"/>
      </w:r>
    </w:p>
    <w:p w:rsidR="007A01BD" w:rsidRPr="003F6306" w:rsidRDefault="00F82531" w:rsidP="005E2801">
      <w:pPr>
        <w:pStyle w:val="Heading1"/>
      </w:pPr>
      <w:bookmarkStart w:id="11" w:name="_Toc496019813"/>
      <w:r w:rsidRPr="003F6306">
        <w:rPr>
          <w:spacing w:val="-13"/>
        </w:rPr>
        <w:lastRenderedPageBreak/>
        <w:t xml:space="preserve">From </w:t>
      </w:r>
      <w:r w:rsidRPr="003F6306">
        <w:rPr>
          <w:spacing w:val="-6"/>
        </w:rPr>
        <w:t xml:space="preserve">the </w:t>
      </w:r>
      <w:r w:rsidRPr="003F6306">
        <w:t xml:space="preserve">Commissioner </w:t>
      </w:r>
      <w:r w:rsidRPr="003F6306">
        <w:rPr>
          <w:spacing w:val="-14"/>
        </w:rPr>
        <w:t xml:space="preserve">for </w:t>
      </w:r>
      <w:r w:rsidRPr="003F6306">
        <w:t xml:space="preserve">Aboriginal </w:t>
      </w:r>
      <w:r w:rsidRPr="003F6306">
        <w:rPr>
          <w:spacing w:val="-10"/>
        </w:rPr>
        <w:t xml:space="preserve">Children </w:t>
      </w:r>
      <w:r w:rsidRPr="003F6306">
        <w:rPr>
          <w:spacing w:val="-7"/>
        </w:rPr>
        <w:t xml:space="preserve">and </w:t>
      </w:r>
      <w:r w:rsidRPr="003F6306">
        <w:rPr>
          <w:spacing w:val="-19"/>
        </w:rPr>
        <w:t xml:space="preserve">Young </w:t>
      </w:r>
      <w:bookmarkEnd w:id="10"/>
      <w:r w:rsidRPr="003F6306">
        <w:rPr>
          <w:spacing w:val="-12"/>
        </w:rPr>
        <w:t>People</w:t>
      </w:r>
      <w:bookmarkEnd w:id="11"/>
    </w:p>
    <w:p w:rsidR="007A01BD" w:rsidRPr="003F6306" w:rsidRDefault="00F82531" w:rsidP="00540D7A">
      <w:r w:rsidRPr="003F6306">
        <w:rPr>
          <w:spacing w:val="-4"/>
        </w:rPr>
        <w:t xml:space="preserve">Today  </w:t>
      </w:r>
      <w:r w:rsidRPr="003F6306">
        <w:t xml:space="preserve">in </w:t>
      </w:r>
      <w:r w:rsidRPr="003F6306">
        <w:rPr>
          <w:spacing w:val="-9"/>
        </w:rPr>
        <w:t xml:space="preserve">2017,  </w:t>
      </w:r>
      <w:r w:rsidRPr="003F6306">
        <w:t xml:space="preserve">20 years after the </w:t>
      </w:r>
      <w:r w:rsidRPr="003F6306">
        <w:rPr>
          <w:i/>
        </w:rPr>
        <w:t xml:space="preserve">Bringing them Home </w:t>
      </w:r>
      <w:r w:rsidRPr="003F6306">
        <w:t xml:space="preserve">report, we are still seeing record numbers of Victorian Koori children removed by Child Protection and placed in out-of-home care, away from their families. There is twice the number of Koori children in the Victorian out-of-home care system as there was when we commenced Taskforce 1000. As evidenced in </w:t>
      </w:r>
      <w:r w:rsidRPr="003F6306">
        <w:rPr>
          <w:i/>
        </w:rPr>
        <w:t xml:space="preserve">Always was, always will be Koori children </w:t>
      </w:r>
      <w:r w:rsidRPr="003F6306">
        <w:t xml:space="preserve">and </w:t>
      </w:r>
      <w:r w:rsidRPr="003F6306">
        <w:rPr>
          <w:i/>
        </w:rPr>
        <w:t>In the child’s best interests</w:t>
      </w:r>
      <w:r w:rsidRPr="003F6306">
        <w:t>, together with good practice, we saw countless examples of institutional racism, cultural ignorance and a failure to comply with legislation to ensure the protection of our children’s cultural</w:t>
      </w:r>
      <w:r w:rsidRPr="003F6306">
        <w:rPr>
          <w:spacing w:val="5"/>
        </w:rPr>
        <w:t xml:space="preserve"> </w:t>
      </w:r>
      <w:r w:rsidRPr="003F6306">
        <w:t>rights.</w:t>
      </w:r>
    </w:p>
    <w:p w:rsidR="007A01BD" w:rsidRPr="003F6306" w:rsidRDefault="00F82531" w:rsidP="00540D7A">
      <w:r w:rsidRPr="003F6306">
        <w:t>I remain confident that with strong commitment across government, and within the Department of Health and Human Services (DHHS), mainstream community sector organisations (CSOs), and primarily driven by Aboriginal Community Controlled Organisations (ACCOs) and leadership, we are seeing an honest attempt and improved practices to keep our children home or to bring them and keep them safe in family, community and</w:t>
      </w:r>
      <w:r w:rsidRPr="003F6306">
        <w:rPr>
          <w:spacing w:val="2"/>
        </w:rPr>
        <w:t xml:space="preserve"> </w:t>
      </w:r>
      <w:r w:rsidRPr="003F6306">
        <w:t>culture.</w:t>
      </w:r>
    </w:p>
    <w:p w:rsidR="007A01BD" w:rsidRPr="003F6306" w:rsidRDefault="00F82531" w:rsidP="00540D7A">
      <w:r w:rsidRPr="003F6306">
        <w:t>I applaud the commitment by the Minister  for Families and Children, the Hon. Jenny Mikakos, and the work by all members of</w:t>
      </w:r>
      <w:r w:rsidRPr="003F6306">
        <w:rPr>
          <w:spacing w:val="8"/>
        </w:rPr>
        <w:t xml:space="preserve"> </w:t>
      </w:r>
      <w:r w:rsidRPr="003F6306">
        <w:t>the</w:t>
      </w:r>
      <w:r w:rsidR="00CD1DDC">
        <w:t xml:space="preserve"> </w:t>
      </w:r>
      <w:r w:rsidRPr="003F6306">
        <w:t>Aboriginal Children’s Forum (ACF) to ensure we have a system that is now working to protect the rights of our children and families, and to ensure full compliance with the Aboriginal Child</w:t>
      </w:r>
      <w:r w:rsidR="00CD1DDC">
        <w:t xml:space="preserve"> </w:t>
      </w:r>
      <w:r w:rsidRPr="003F6306">
        <w:t>Placement Principle (ACPP). There are Koori and non-Koori champions across sectors ensuring we achieve this objective.</w:t>
      </w:r>
    </w:p>
    <w:p w:rsidR="007A01BD" w:rsidRPr="003F6306" w:rsidRDefault="00F82531" w:rsidP="00540D7A">
      <w:r w:rsidRPr="003F6306">
        <w:t>Over and above the findings and recommendations from the Royal Commission into Family Violence, we have never before seen a level of commitment from government and community to stop family violence, which, along with alcohol and drug abuse are the primary drivers of child removal. As evidenced in Taskforce 1000, close to 90 per cent of Koori children are removed due to factors involving family violence, alcohol and drug</w:t>
      </w:r>
      <w:r w:rsidRPr="003F6306">
        <w:rPr>
          <w:spacing w:val="23"/>
        </w:rPr>
        <w:t xml:space="preserve"> </w:t>
      </w:r>
      <w:r w:rsidRPr="003F6306">
        <w:t>abuse.</w:t>
      </w:r>
    </w:p>
    <w:p w:rsidR="007A01BD" w:rsidRPr="003F6306" w:rsidRDefault="00F82531" w:rsidP="00540D7A">
      <w:r w:rsidRPr="003F6306">
        <w:t>We must seize the moment to maximise this groundswell to make a generational change to the ever-increasing numbers of Koori children in Victoria being removed. We cannot lose</w:t>
      </w:r>
      <w:r w:rsidR="00540D7A">
        <w:t xml:space="preserve"> </w:t>
      </w:r>
      <w:r w:rsidRPr="003F6306">
        <w:t>this opportunity.</w:t>
      </w:r>
    </w:p>
    <w:p w:rsidR="007A01BD" w:rsidRPr="00540D7A" w:rsidRDefault="00F82531" w:rsidP="00540D7A">
      <w:r w:rsidRPr="003F6306">
        <w:t xml:space="preserve">Over the past 12 months, we commemorated landmark anniversaries. This year marked the 50th anniversary of the passing of the 1967 Referendum, the 26th anniversary of the final report of the Royal Commission into Aboriginal Deaths in Custody, the 20th anniversary </w:t>
      </w:r>
      <w:r w:rsidRPr="00540D7A">
        <w:t>of</w:t>
      </w:r>
      <w:r w:rsidR="00540D7A" w:rsidRPr="00540D7A">
        <w:t xml:space="preserve"> </w:t>
      </w:r>
      <w:r w:rsidRPr="00540D7A">
        <w:t>the Bringing them Home report, and the 25th anniversary of the Mabo High Court Decision</w:t>
      </w:r>
      <w:r w:rsidRPr="003F6306">
        <w:rPr>
          <w:sz w:val="20"/>
        </w:rPr>
        <w:t>.</w:t>
      </w:r>
    </w:p>
    <w:p w:rsidR="007A01BD" w:rsidRPr="003F6306" w:rsidRDefault="00F82531" w:rsidP="00540D7A">
      <w:r w:rsidRPr="003F6306">
        <w:t>The referendum and the Mabo Court decision were milestones in the recognition of the rights of Aboriginal people in acknowledgement of their ancestral connection to Australia.</w:t>
      </w:r>
    </w:p>
    <w:p w:rsidR="007A01BD" w:rsidRPr="003F6306" w:rsidRDefault="00F82531" w:rsidP="00540D7A">
      <w:r w:rsidRPr="003F6306">
        <w:rPr>
          <w:i/>
        </w:rPr>
        <w:t xml:space="preserve">Bringing them Home </w:t>
      </w:r>
      <w:r w:rsidRPr="003F6306">
        <w:t xml:space="preserve">and the </w:t>
      </w:r>
      <w:r w:rsidRPr="003F6306">
        <w:rPr>
          <w:spacing w:val="-3"/>
        </w:rPr>
        <w:t>Royal</w:t>
      </w:r>
      <w:r w:rsidRPr="003F6306">
        <w:rPr>
          <w:spacing w:val="-36"/>
        </w:rPr>
        <w:t xml:space="preserve"> </w:t>
      </w:r>
      <w:r w:rsidRPr="003F6306">
        <w:rPr>
          <w:spacing w:val="-3"/>
        </w:rPr>
        <w:t xml:space="preserve">Commission’s </w:t>
      </w:r>
      <w:r w:rsidRPr="003F6306">
        <w:t>report</w:t>
      </w:r>
      <w:r w:rsidRPr="003F6306">
        <w:rPr>
          <w:spacing w:val="-10"/>
        </w:rPr>
        <w:t xml:space="preserve"> </w:t>
      </w:r>
      <w:r w:rsidRPr="003F6306">
        <w:t>detailed</w:t>
      </w:r>
      <w:r w:rsidRPr="003F6306">
        <w:rPr>
          <w:spacing w:val="-10"/>
        </w:rPr>
        <w:t xml:space="preserve"> </w:t>
      </w:r>
      <w:r w:rsidRPr="003F6306">
        <w:t>the</w:t>
      </w:r>
      <w:r w:rsidRPr="003F6306">
        <w:rPr>
          <w:spacing w:val="-10"/>
        </w:rPr>
        <w:t xml:space="preserve"> </w:t>
      </w:r>
      <w:r w:rsidRPr="003F6306">
        <w:t>sorry</w:t>
      </w:r>
      <w:r w:rsidRPr="003F6306">
        <w:rPr>
          <w:spacing w:val="-10"/>
        </w:rPr>
        <w:t xml:space="preserve"> </w:t>
      </w:r>
      <w:r w:rsidRPr="003F6306">
        <w:t>tale</w:t>
      </w:r>
      <w:r w:rsidRPr="003F6306">
        <w:rPr>
          <w:spacing w:val="-10"/>
        </w:rPr>
        <w:t xml:space="preserve"> </w:t>
      </w:r>
      <w:r w:rsidRPr="003F6306">
        <w:t>of</w:t>
      </w:r>
      <w:r w:rsidRPr="003F6306">
        <w:rPr>
          <w:spacing w:val="-10"/>
        </w:rPr>
        <w:t xml:space="preserve"> </w:t>
      </w:r>
      <w:r w:rsidRPr="003F6306">
        <w:t>exclusion,</w:t>
      </w:r>
      <w:r w:rsidRPr="003F6306">
        <w:rPr>
          <w:spacing w:val="-10"/>
        </w:rPr>
        <w:t xml:space="preserve"> </w:t>
      </w:r>
      <w:r w:rsidRPr="003F6306">
        <w:t>racism, injustice, disadvantage, and the impact of past government and social policies on our children, our</w:t>
      </w:r>
      <w:r w:rsidRPr="003F6306">
        <w:rPr>
          <w:spacing w:val="-11"/>
        </w:rPr>
        <w:t xml:space="preserve"> </w:t>
      </w:r>
      <w:r w:rsidRPr="003F6306">
        <w:t>families</w:t>
      </w:r>
      <w:r w:rsidRPr="003F6306">
        <w:rPr>
          <w:spacing w:val="-11"/>
        </w:rPr>
        <w:t xml:space="preserve"> </w:t>
      </w:r>
      <w:r w:rsidRPr="003F6306">
        <w:t>and</w:t>
      </w:r>
      <w:r w:rsidRPr="003F6306">
        <w:rPr>
          <w:spacing w:val="-11"/>
        </w:rPr>
        <w:t xml:space="preserve"> </w:t>
      </w:r>
      <w:r w:rsidRPr="003F6306">
        <w:t>our</w:t>
      </w:r>
      <w:r w:rsidRPr="003F6306">
        <w:rPr>
          <w:spacing w:val="-11"/>
        </w:rPr>
        <w:t xml:space="preserve"> </w:t>
      </w:r>
      <w:r w:rsidRPr="003F6306">
        <w:t>communities.</w:t>
      </w:r>
    </w:p>
    <w:p w:rsidR="007A01BD" w:rsidRPr="003F6306" w:rsidRDefault="00F82531" w:rsidP="00540D7A">
      <w:r w:rsidRPr="003F6306">
        <w:t>The ongoing incarceration of Russell Moore in a Florida prison is a continuing testament to the failures of past government practices and policies that were highlighted in these reports. The failure to implement these recommendations nationwide has seen lost opportunities to right the wrongs of the past</w:t>
      </w:r>
      <w:r w:rsidR="00CD1DDC">
        <w:t xml:space="preserve"> </w:t>
      </w:r>
      <w:r w:rsidRPr="003F6306">
        <w:t>and current circumstances. It is disappointing to think that Aboriginal people may have told their stories in vain, and we should not let them sit idle on shelves gathering</w:t>
      </w:r>
      <w:r w:rsidRPr="003F6306">
        <w:rPr>
          <w:spacing w:val="12"/>
        </w:rPr>
        <w:t xml:space="preserve"> </w:t>
      </w:r>
      <w:r w:rsidRPr="003F6306">
        <w:t>dust.</w:t>
      </w:r>
    </w:p>
    <w:p w:rsidR="007A01BD" w:rsidRPr="003F6306" w:rsidRDefault="00F82531" w:rsidP="00540D7A">
      <w:r w:rsidRPr="003F6306">
        <w:t>The ongoing leadership shown by the ACF to drive policy and practice reform in the child protection and out-of-home care sectors demonstrates that government, ACCOs and CSOs can work in partnership with a focus on best outcomes for Koori children and young people by ensuring they grow up strong in community and culture.</w:t>
      </w:r>
    </w:p>
    <w:p w:rsidR="007A01BD" w:rsidRPr="003F6306" w:rsidRDefault="00F82531" w:rsidP="00540D7A">
      <w:r w:rsidRPr="003F6306">
        <w:lastRenderedPageBreak/>
        <w:t xml:space="preserve">The ACF continues to hold government and their commitment to self-determination to account. In </w:t>
      </w:r>
      <w:r w:rsidRPr="003F6306">
        <w:rPr>
          <w:spacing w:val="-6"/>
        </w:rPr>
        <w:t xml:space="preserve">2017 </w:t>
      </w:r>
      <w:r w:rsidRPr="003F6306">
        <w:t>it has set, in partnership with the DHHS, important targets and timeframes  for the number of Koori children in care to be transitioned to case management by</w:t>
      </w:r>
      <w:r w:rsidRPr="003F6306">
        <w:rPr>
          <w:spacing w:val="16"/>
        </w:rPr>
        <w:t xml:space="preserve"> </w:t>
      </w:r>
      <w:r w:rsidRPr="003F6306">
        <w:t>ACCOs.</w:t>
      </w:r>
    </w:p>
    <w:p w:rsidR="007A01BD" w:rsidRPr="003F6306" w:rsidRDefault="00F82531" w:rsidP="00540D7A">
      <w:r w:rsidRPr="003F6306">
        <w:t>The ACF has set a target of 30 per cent of Koori children and young people in care to be case- managed by ACCOs by the end of 2017. This will grow to 80 per cent by the end of 2018 and to</w:t>
      </w:r>
      <w:r w:rsidR="00540D7A">
        <w:t xml:space="preserve"> </w:t>
      </w:r>
      <w:r w:rsidRPr="003F6306">
        <w:t>100 per cent by the end of 2021. These targets and timeframes are both realistic, long overdue and necessary if we are committed to self- determination, and better and safer outcomes for our children.</w:t>
      </w:r>
    </w:p>
    <w:p w:rsidR="007A01BD" w:rsidRPr="003F6306" w:rsidRDefault="00F82531" w:rsidP="00540D7A">
      <w:r w:rsidRPr="003F6306">
        <w:t>In the child protection and out-of-home care space, the Commission tabled two Koori- specific landmark reports in the Victorian Parliament in October 2016.</w:t>
      </w:r>
    </w:p>
    <w:p w:rsidR="007A01BD" w:rsidRPr="00CD1DDC" w:rsidRDefault="00F82531" w:rsidP="00CD1DDC">
      <w:pPr>
        <w:rPr>
          <w:i/>
        </w:rPr>
      </w:pPr>
      <w:r w:rsidRPr="003F6306">
        <w:t xml:space="preserve">They were, </w:t>
      </w:r>
      <w:r w:rsidRPr="00CD1DDC">
        <w:rPr>
          <w:i/>
        </w:rPr>
        <w:t>Always was, always will be Koori children: A systemic Inquiry into services provided to Aboriginal children and young  people in out-of-home-care in Victoria</w:t>
      </w:r>
      <w:r w:rsidRPr="003F6306">
        <w:t xml:space="preserve"> and </w:t>
      </w:r>
      <w:r w:rsidRPr="00CD1DDC">
        <w:rPr>
          <w:i/>
        </w:rPr>
        <w:t>In the child’s best interests: Inquiry into compliance with the intent of the Aboriginal Child Placement Principle in</w:t>
      </w:r>
      <w:r w:rsidRPr="00CD1DDC">
        <w:rPr>
          <w:i/>
          <w:spacing w:val="8"/>
        </w:rPr>
        <w:t xml:space="preserve"> </w:t>
      </w:r>
      <w:r w:rsidRPr="00CD1DDC">
        <w:rPr>
          <w:i/>
        </w:rPr>
        <w:t>Victoria.</w:t>
      </w:r>
    </w:p>
    <w:p w:rsidR="007A01BD" w:rsidRPr="003F6306" w:rsidRDefault="00F82531" w:rsidP="00540D7A">
      <w:r w:rsidRPr="003F6306">
        <w:t>Both these reports were informed by the extensive work of the landmark Taskforce</w:t>
      </w:r>
      <w:r w:rsidR="00CD1DDC">
        <w:t xml:space="preserve"> </w:t>
      </w:r>
      <w:r w:rsidRPr="003F6306">
        <w:t>1000 project, a joint initiative of the department and the Commission that looked in-depth at the histories, case files and responses to 980 identified Koori children and young people in the care of</w:t>
      </w:r>
      <w:r w:rsidRPr="003F6306">
        <w:rPr>
          <w:spacing w:val="5"/>
        </w:rPr>
        <w:t xml:space="preserve"> </w:t>
      </w:r>
      <w:r w:rsidRPr="003F6306">
        <w:t>DHHS.</w:t>
      </w:r>
    </w:p>
    <w:p w:rsidR="007A01BD" w:rsidRPr="003F6306" w:rsidRDefault="00F82531" w:rsidP="00540D7A">
      <w:r w:rsidRPr="003F6306">
        <w:t>I welcome the government’s acceptance of all recommendations, either in full, in part or in principle and look forward to their full implementation in policy, legislation and practice. I applaud DHHS for establishing  a committee, which the Commission co- chairs, to monitor the implementation of the</w:t>
      </w:r>
      <w:r w:rsidRPr="003F6306">
        <w:rPr>
          <w:spacing w:val="13"/>
        </w:rPr>
        <w:t xml:space="preserve"> </w:t>
      </w:r>
      <w:r w:rsidRPr="003F6306">
        <w:t>recommendations.</w:t>
      </w:r>
    </w:p>
    <w:p w:rsidR="007A01BD" w:rsidRPr="003F6306" w:rsidRDefault="00F82531" w:rsidP="00540D7A">
      <w:r w:rsidRPr="003F6306">
        <w:t>While the last 12 months have seen promising and nationally-leading developments in our responses to Aboriginal children and young people in the child protection system, the same cannot be said about the state of the youth justice system and our Koori young people connected to the system.</w:t>
      </w:r>
    </w:p>
    <w:p w:rsidR="007A01BD" w:rsidRPr="003F6306" w:rsidRDefault="00F82531" w:rsidP="00540D7A">
      <w:r w:rsidRPr="003F6306">
        <w:t xml:space="preserve">Last year saw a significant number of disturbances and high-profile incidents across both Malmsbury and Parkville </w:t>
      </w:r>
      <w:r w:rsidRPr="003F6306">
        <w:rPr>
          <w:spacing w:val="-4"/>
        </w:rPr>
        <w:t xml:space="preserve">Youth </w:t>
      </w:r>
      <w:r w:rsidRPr="003F6306">
        <w:t>Justice facilities. The causes of these disturbances have been complex and require nuanced and evidence-informed responses in operations and policy.</w:t>
      </w:r>
    </w:p>
    <w:p w:rsidR="007A01BD" w:rsidRPr="003F6306" w:rsidRDefault="00F82531" w:rsidP="00540D7A">
      <w:r w:rsidRPr="003F6306">
        <w:t>Unfortunately responses have been, in many cases, reactive and punitive and have created an atmosphere within the centres that led to an environment that has not been supportive, positive or rehabilitative for young people or youth justice staff.</w:t>
      </w:r>
    </w:p>
    <w:p w:rsidR="007A01BD" w:rsidRPr="003F6306" w:rsidRDefault="00F82531" w:rsidP="00540D7A">
      <w:r w:rsidRPr="003F6306">
        <w:t xml:space="preserve">I welcomed the decision by the Victorian Government to commission an extensive  review of </w:t>
      </w:r>
      <w:r w:rsidRPr="003F6306">
        <w:rPr>
          <w:spacing w:val="-4"/>
        </w:rPr>
        <w:t xml:space="preserve">Youth </w:t>
      </w:r>
      <w:r w:rsidRPr="003F6306">
        <w:t xml:space="preserve">Justice, to be undertaken by Penny Armytage and Jim Ogloff, and to transfer responsibility for </w:t>
      </w:r>
      <w:r w:rsidRPr="003F6306">
        <w:rPr>
          <w:spacing w:val="-4"/>
        </w:rPr>
        <w:t xml:space="preserve">Youth </w:t>
      </w:r>
      <w:r w:rsidRPr="003F6306">
        <w:t>Justice from</w:t>
      </w:r>
      <w:r w:rsidRPr="003F6306">
        <w:rPr>
          <w:spacing w:val="31"/>
        </w:rPr>
        <w:t xml:space="preserve"> </w:t>
      </w:r>
      <w:r w:rsidRPr="003F6306">
        <w:t>DHHS</w:t>
      </w:r>
      <w:r w:rsidR="00CD1DDC">
        <w:t xml:space="preserve"> </w:t>
      </w:r>
      <w:r w:rsidRPr="003F6306">
        <w:t>to the Department of Justice and Regulation (DJR). I have looked forward to the review being finalised, and the findings and recommendations being made public.</w:t>
      </w:r>
    </w:p>
    <w:p w:rsidR="00540D7A" w:rsidRDefault="00F82531" w:rsidP="00540D7A">
      <w:r w:rsidRPr="003F6306">
        <w:t>My hope is that the transfer to DJR and the review, together with a greater focus and oversight over next 12 months through the Aboriginal Justice Forum and key youth priorities within the Aboriginal Justice Agreement 4,</w:t>
      </w:r>
      <w:r w:rsidR="00CD1DDC">
        <w:t xml:space="preserve"> </w:t>
      </w:r>
      <w:r w:rsidRPr="003F6306">
        <w:t>will bring about a change in the rhetoric that dominated much of the discourse with regard to youth justice and young people.</w:t>
      </w:r>
    </w:p>
    <w:p w:rsidR="007A01BD" w:rsidRPr="003F6306" w:rsidRDefault="00F82531" w:rsidP="00540D7A">
      <w:r w:rsidRPr="003F6306">
        <w:t>I remain confident that these changes will create an environment that is focused on the rehabilitation, responsibility and development of our young people within youth justice facilities, and drive the enhancement and expansion of early intervention and prevention</w:t>
      </w:r>
      <w:r w:rsidR="00CD1DDC">
        <w:t xml:space="preserve"> </w:t>
      </w:r>
      <w:r w:rsidRPr="003F6306">
        <w:t>programs within ACCOs to begin to address the over-representation of Aboriginal young people in youth justice.</w:t>
      </w:r>
    </w:p>
    <w:p w:rsidR="007A01BD" w:rsidRPr="003F6306" w:rsidRDefault="00F82531" w:rsidP="00540D7A">
      <w:r w:rsidRPr="003F6306">
        <w:lastRenderedPageBreak/>
        <w:t>Two things the government can do to reduce the over-representation of Koori children and young people in the justice system would be to increase the minimum age of criminality</w:t>
      </w:r>
      <w:r w:rsidR="00CD1DDC">
        <w:t xml:space="preserve"> </w:t>
      </w:r>
      <w:r w:rsidRPr="003F6306">
        <w:t xml:space="preserve">and the maximum age of leaving care from  </w:t>
      </w:r>
      <w:r w:rsidRPr="003F6306">
        <w:rPr>
          <w:spacing w:val="-6"/>
        </w:rPr>
        <w:t xml:space="preserve">18 </w:t>
      </w:r>
      <w:r w:rsidRPr="003F6306">
        <w:t xml:space="preserve">to </w:t>
      </w:r>
      <w:r w:rsidRPr="003F6306">
        <w:rPr>
          <w:spacing w:val="-3"/>
        </w:rPr>
        <w:t xml:space="preserve">21 </w:t>
      </w:r>
      <w:r w:rsidRPr="003F6306">
        <w:t>years of age. The socioeconomic arguments for these two changes are considerable and could have a lasting impact that could change current life projections for many of the children in care</w:t>
      </w:r>
      <w:r w:rsidRPr="003F6306">
        <w:rPr>
          <w:spacing w:val="10"/>
        </w:rPr>
        <w:t xml:space="preserve"> </w:t>
      </w:r>
      <w:r w:rsidRPr="003F6306">
        <w:rPr>
          <w:spacing w:val="-3"/>
        </w:rPr>
        <w:t>today.</w:t>
      </w:r>
    </w:p>
    <w:p w:rsidR="007A01BD" w:rsidRPr="003F6306" w:rsidRDefault="00F82531" w:rsidP="00540D7A">
      <w:r w:rsidRPr="003F6306">
        <w:t>I look forward to the year ahead with many positive challenges awaiting us to improve the youth justice and child protection systems, increasing self-determination and greater opportunities to bring our children home.</w:t>
      </w:r>
    </w:p>
    <w:p w:rsidR="00CD1DDC" w:rsidRDefault="00CD1DDC" w:rsidP="00540D7A">
      <w:pPr>
        <w:rPr>
          <w:rFonts w:ascii="HelveticaNeue-Light"/>
          <w:b/>
        </w:rPr>
      </w:pPr>
    </w:p>
    <w:p w:rsidR="00CD1DDC" w:rsidRPr="00CD1DDC" w:rsidRDefault="00F82531" w:rsidP="00540D7A">
      <w:pPr>
        <w:rPr>
          <w:rFonts w:ascii="HelveticaNeue-Light"/>
          <w:b/>
        </w:rPr>
      </w:pPr>
      <w:r w:rsidRPr="00CD1DDC">
        <w:rPr>
          <w:rFonts w:ascii="HelveticaNeue-Light"/>
          <w:b/>
        </w:rPr>
        <w:t xml:space="preserve">Andrew M Jackomos PSM </w:t>
      </w:r>
    </w:p>
    <w:p w:rsidR="00540D7A" w:rsidRPr="00CD1DDC" w:rsidRDefault="00F82531" w:rsidP="00540D7A">
      <w:pPr>
        <w:rPr>
          <w:b/>
        </w:rPr>
      </w:pPr>
      <w:r w:rsidRPr="00CD1DDC">
        <w:rPr>
          <w:b/>
        </w:rPr>
        <w:t>Commissioner for Aboriginal Children and Young People</w:t>
      </w:r>
      <w:bookmarkStart w:id="12" w:name="_TOC_250029"/>
      <w:bookmarkEnd w:id="12"/>
      <w:r w:rsidR="00540D7A" w:rsidRPr="00CD1DDC">
        <w:rPr>
          <w:b/>
        </w:rPr>
        <w:t xml:space="preserve"> </w:t>
      </w:r>
    </w:p>
    <w:p w:rsidR="00540D7A" w:rsidRDefault="00540D7A">
      <w:pPr>
        <w:spacing w:before="0"/>
      </w:pPr>
      <w:r>
        <w:br w:type="page"/>
      </w:r>
    </w:p>
    <w:p w:rsidR="007A01BD" w:rsidRPr="003F6306" w:rsidRDefault="00F82531" w:rsidP="00540D7A">
      <w:pPr>
        <w:pStyle w:val="Heading1"/>
      </w:pPr>
      <w:bookmarkStart w:id="13" w:name="_Toc496019814"/>
      <w:r w:rsidRPr="003F6306">
        <w:lastRenderedPageBreak/>
        <w:t>About the Commission for Children and Young People</w:t>
      </w:r>
      <w:bookmarkEnd w:id="13"/>
    </w:p>
    <w:p w:rsidR="007A01BD" w:rsidRPr="003F6306" w:rsidRDefault="00F82531" w:rsidP="00540D7A">
      <w:r w:rsidRPr="003F6306">
        <w:t>The Commission consists of Liana Buchanan, Principal Commissioner, and Andrew Jackomos PSM, Commissioner for Aboriginal Children and Young People.</w:t>
      </w:r>
    </w:p>
    <w:p w:rsidR="007A01BD" w:rsidRPr="003F6306" w:rsidRDefault="00F82531" w:rsidP="00540D7A">
      <w:r w:rsidRPr="003F6306">
        <w:t>We are an independent statutory body established to promote improvement and innovation in policies and practices relating to the safety and wellbeing of vulnerable Victorian children and young people.</w:t>
      </w:r>
    </w:p>
    <w:p w:rsidR="007A01BD" w:rsidRPr="003F6306" w:rsidRDefault="00F82531" w:rsidP="00540D7A">
      <w:r w:rsidRPr="003F6306">
        <w:t>Our vision is that the rights of children and young people in Victoria are recognised, respected and defended.</w:t>
      </w:r>
    </w:p>
    <w:p w:rsidR="007A01BD" w:rsidRPr="003F6306" w:rsidRDefault="00F82531" w:rsidP="00540D7A">
      <w:r w:rsidRPr="003F6306">
        <w:t>At the Commission we:</w:t>
      </w:r>
    </w:p>
    <w:p w:rsidR="007A01BD" w:rsidRPr="003F6306" w:rsidRDefault="00F82531" w:rsidP="002255D5">
      <w:pPr>
        <w:pStyle w:val="Bullets"/>
      </w:pPr>
      <w:r w:rsidRPr="003F6306">
        <w:t>provide independent scrutiny and oversight of services for children and young people, particularly those in out-of-home care, child protection and youth</w:t>
      </w:r>
      <w:r w:rsidRPr="003F6306">
        <w:rPr>
          <w:spacing w:val="8"/>
        </w:rPr>
        <w:t xml:space="preserve"> </w:t>
      </w:r>
      <w:r w:rsidRPr="003F6306">
        <w:t>justice</w:t>
      </w:r>
    </w:p>
    <w:p w:rsidR="007A01BD" w:rsidRPr="003F6306" w:rsidRDefault="00F82531" w:rsidP="002255D5">
      <w:pPr>
        <w:pStyle w:val="Bullets"/>
      </w:pPr>
      <w:r w:rsidRPr="003F6306">
        <w:t>advocate for best-practice policy, program and service responses to meet the needs of children and young</w:t>
      </w:r>
      <w:r w:rsidRPr="003F6306">
        <w:rPr>
          <w:spacing w:val="13"/>
        </w:rPr>
        <w:t xml:space="preserve"> </w:t>
      </w:r>
      <w:r w:rsidRPr="003F6306">
        <w:t>people</w:t>
      </w:r>
    </w:p>
    <w:p w:rsidR="007A01BD" w:rsidRPr="003F6306" w:rsidRDefault="00F82531" w:rsidP="002255D5">
      <w:pPr>
        <w:pStyle w:val="Bullets"/>
      </w:pPr>
      <w:r w:rsidRPr="003F6306">
        <w:t>support and regulate organisations that work with children and young people to prevent abuse and ensure these organisations have child-safe</w:t>
      </w:r>
      <w:r w:rsidRPr="003F6306">
        <w:rPr>
          <w:spacing w:val="12"/>
        </w:rPr>
        <w:t xml:space="preserve"> </w:t>
      </w:r>
      <w:r w:rsidRPr="003F6306">
        <w:t>practices</w:t>
      </w:r>
    </w:p>
    <w:p w:rsidR="007A01BD" w:rsidRPr="003F6306" w:rsidRDefault="00F82531" w:rsidP="002255D5">
      <w:pPr>
        <w:pStyle w:val="Bullets"/>
      </w:pPr>
      <w:r w:rsidRPr="003F6306">
        <w:t>bring the experiences of children and young people to government and</w:t>
      </w:r>
      <w:r w:rsidRPr="003F6306">
        <w:rPr>
          <w:spacing w:val="10"/>
        </w:rPr>
        <w:t xml:space="preserve"> </w:t>
      </w:r>
      <w:r w:rsidRPr="003F6306">
        <w:t>community</w:t>
      </w:r>
    </w:p>
    <w:p w:rsidR="007A01BD" w:rsidRPr="003F6306" w:rsidRDefault="00F82531" w:rsidP="002255D5">
      <w:pPr>
        <w:pStyle w:val="Bullets"/>
      </w:pPr>
      <w:r w:rsidRPr="003F6306">
        <w:t>promote the rights, safety and wellbeing of children and young</w:t>
      </w:r>
      <w:r w:rsidRPr="003F6306">
        <w:rPr>
          <w:spacing w:val="10"/>
        </w:rPr>
        <w:t xml:space="preserve"> </w:t>
      </w:r>
      <w:r w:rsidRPr="003F6306">
        <w:t>people.</w:t>
      </w:r>
    </w:p>
    <w:p w:rsidR="007A01BD" w:rsidRPr="003F6306" w:rsidRDefault="00F82531" w:rsidP="00540D7A">
      <w:pPr>
        <w:rPr>
          <w:sz w:val="20"/>
        </w:rPr>
      </w:pPr>
      <w:r w:rsidRPr="003F6306">
        <w:rPr>
          <w:sz w:val="20"/>
        </w:rPr>
        <w:t xml:space="preserve">Our functions and powers are outlined in the </w:t>
      </w:r>
      <w:r w:rsidRPr="003F6306">
        <w:rPr>
          <w:i/>
          <w:sz w:val="20"/>
        </w:rPr>
        <w:t xml:space="preserve">Commission for Children and Young People Act 2012 </w:t>
      </w:r>
      <w:r w:rsidRPr="003F6306">
        <w:rPr>
          <w:sz w:val="20"/>
        </w:rPr>
        <w:t xml:space="preserve">(CCYP Act) and the </w:t>
      </w:r>
      <w:r w:rsidRPr="003F6306">
        <w:rPr>
          <w:i/>
          <w:sz w:val="20"/>
        </w:rPr>
        <w:t xml:space="preserve">Child Wellbeing and Safety Act 2005 </w:t>
      </w:r>
      <w:r w:rsidRPr="003F6306">
        <w:rPr>
          <w:sz w:val="20"/>
        </w:rPr>
        <w:t>(Child Wellbeing and Safety Act).</w:t>
      </w:r>
    </w:p>
    <w:p w:rsidR="007A01BD" w:rsidRPr="003F6306" w:rsidRDefault="00F82531" w:rsidP="00540D7A">
      <w:r w:rsidRPr="003F6306">
        <w:t>In 2016–17 we established eight key priorities</w:t>
      </w:r>
      <w:r w:rsidR="002255D5">
        <w:t>:</w:t>
      </w:r>
    </w:p>
    <w:p w:rsidR="007A01BD" w:rsidRPr="003F6306" w:rsidRDefault="00F82531" w:rsidP="005E2801">
      <w:pPr>
        <w:pStyle w:val="Bullets"/>
      </w:pPr>
      <w:r w:rsidRPr="003F6306">
        <w:t xml:space="preserve">Advocating for Aboriginal self- determination </w:t>
      </w:r>
      <w:r w:rsidRPr="003F6306">
        <w:rPr>
          <w:spacing w:val="-3"/>
        </w:rPr>
        <w:t xml:space="preserve">to </w:t>
      </w:r>
      <w:r w:rsidRPr="003F6306">
        <w:t xml:space="preserve">ensure Koori children and young people retain connection </w:t>
      </w:r>
      <w:r w:rsidRPr="003F6306">
        <w:rPr>
          <w:spacing w:val="-3"/>
        </w:rPr>
        <w:t xml:space="preserve">to </w:t>
      </w:r>
      <w:r w:rsidRPr="003F6306">
        <w:t>family and</w:t>
      </w:r>
      <w:r w:rsidRPr="003F6306">
        <w:rPr>
          <w:spacing w:val="6"/>
        </w:rPr>
        <w:t xml:space="preserve"> </w:t>
      </w:r>
      <w:r w:rsidRPr="003F6306">
        <w:t>culture.</w:t>
      </w:r>
    </w:p>
    <w:p w:rsidR="007A01BD" w:rsidRPr="003F6306" w:rsidRDefault="00F82531" w:rsidP="005E2801">
      <w:pPr>
        <w:pStyle w:val="Bullets"/>
      </w:pPr>
      <w:r w:rsidRPr="003F6306">
        <w:t>Driving improvement and innovation across the out-of-home care service-delivery</w:t>
      </w:r>
      <w:r w:rsidRPr="003F6306">
        <w:rPr>
          <w:spacing w:val="18"/>
        </w:rPr>
        <w:t xml:space="preserve"> </w:t>
      </w:r>
      <w:r w:rsidRPr="003F6306">
        <w:t>system.</w:t>
      </w:r>
    </w:p>
    <w:p w:rsidR="007A01BD" w:rsidRPr="003F6306" w:rsidRDefault="00F82531" w:rsidP="005E2801">
      <w:pPr>
        <w:pStyle w:val="Bullets"/>
      </w:pPr>
      <w:r w:rsidRPr="003F6306">
        <w:t>Ensuring family violence reforms are focused on children and young</w:t>
      </w:r>
      <w:r w:rsidRPr="003F6306">
        <w:rPr>
          <w:spacing w:val="3"/>
        </w:rPr>
        <w:t xml:space="preserve"> </w:t>
      </w:r>
      <w:r w:rsidRPr="003F6306">
        <w:t>people.</w:t>
      </w:r>
    </w:p>
    <w:p w:rsidR="007A01BD" w:rsidRPr="003F6306" w:rsidRDefault="00F82531" w:rsidP="005E2801">
      <w:pPr>
        <w:pStyle w:val="Bullets"/>
      </w:pPr>
      <w:r w:rsidRPr="003F6306">
        <w:t>Promoting and regulating child safety in organisations.</w:t>
      </w:r>
    </w:p>
    <w:p w:rsidR="007A01BD" w:rsidRPr="003F6306" w:rsidRDefault="00F82531" w:rsidP="005E2801">
      <w:pPr>
        <w:pStyle w:val="Bullets"/>
      </w:pPr>
      <w:r w:rsidRPr="003F6306">
        <w:t>Ensuring lessons learned from child death inquiries drive system</w:t>
      </w:r>
      <w:r w:rsidRPr="003F6306">
        <w:rPr>
          <w:spacing w:val="-11"/>
        </w:rPr>
        <w:t xml:space="preserve"> </w:t>
      </w:r>
      <w:r w:rsidRPr="003F6306">
        <w:t>improvement.</w:t>
      </w:r>
    </w:p>
    <w:p w:rsidR="007A01BD" w:rsidRPr="003F6306" w:rsidRDefault="00F82531" w:rsidP="005E2801">
      <w:pPr>
        <w:pStyle w:val="Bullets"/>
      </w:pPr>
      <w:r w:rsidRPr="003F6306">
        <w:t>Increasing oversight of youth</w:t>
      </w:r>
      <w:r w:rsidRPr="003F6306">
        <w:rPr>
          <w:spacing w:val="-4"/>
        </w:rPr>
        <w:t xml:space="preserve"> </w:t>
      </w:r>
      <w:r w:rsidRPr="003F6306">
        <w:t>justice.</w:t>
      </w:r>
    </w:p>
    <w:p w:rsidR="007A01BD" w:rsidRPr="003F6306" w:rsidRDefault="00F82531" w:rsidP="005E2801">
      <w:pPr>
        <w:pStyle w:val="Bullets"/>
      </w:pPr>
      <w:r w:rsidRPr="003F6306">
        <w:t>Enhancing the participation of children and young people in our work.</w:t>
      </w:r>
    </w:p>
    <w:p w:rsidR="005E2801" w:rsidRDefault="00F82531" w:rsidP="005E2801">
      <w:pPr>
        <w:pStyle w:val="Bullets"/>
        <w:spacing w:before="0"/>
      </w:pPr>
      <w:r w:rsidRPr="003F6306">
        <w:t>Building a strong, vibrant, high-impact and</w:t>
      </w:r>
      <w:r w:rsidR="005E2801">
        <w:t xml:space="preserve"> </w:t>
      </w:r>
      <w:r w:rsidRPr="003F6306">
        <w:t xml:space="preserve">effective </w:t>
      </w:r>
      <w:r w:rsidR="005E2801">
        <w:t>Commision</w:t>
      </w:r>
      <w:r w:rsidR="002255D5">
        <w:t>.</w:t>
      </w:r>
    </w:p>
    <w:p w:rsidR="00540D7A" w:rsidRDefault="00540D7A" w:rsidP="005E2801">
      <w:pPr>
        <w:pStyle w:val="Bullets"/>
        <w:spacing w:before="0"/>
      </w:pPr>
      <w:r>
        <w:br w:type="page"/>
      </w:r>
    </w:p>
    <w:p w:rsidR="007A01BD" w:rsidRPr="003F6306" w:rsidRDefault="005E2801" w:rsidP="00540D7A">
      <w:pPr>
        <w:pStyle w:val="Heading1"/>
      </w:pPr>
      <w:bookmarkStart w:id="14" w:name="_TOC_250028"/>
      <w:bookmarkStart w:id="15" w:name="_Toc496019815"/>
      <w:bookmarkEnd w:id="14"/>
      <w:r>
        <w:lastRenderedPageBreak/>
        <w:t>H</w:t>
      </w:r>
      <w:r w:rsidR="00F82531" w:rsidRPr="003F6306">
        <w:t>ighlights: our year in review</w:t>
      </w:r>
      <w:bookmarkEnd w:id="15"/>
    </w:p>
    <w:p w:rsidR="007A01BD" w:rsidRPr="003F6306" w:rsidRDefault="00F82531" w:rsidP="00540D7A">
      <w:pPr>
        <w:pStyle w:val="Heading2"/>
      </w:pPr>
      <w:bookmarkStart w:id="16" w:name="_TOC_250027"/>
      <w:bookmarkStart w:id="17" w:name="_Toc496019816"/>
      <w:bookmarkEnd w:id="16"/>
      <w:r w:rsidRPr="003F6306">
        <w:t>Increasing oversight of youth justice</w:t>
      </w:r>
      <w:bookmarkEnd w:id="17"/>
    </w:p>
    <w:p w:rsidR="007A01BD" w:rsidRPr="003F6306" w:rsidRDefault="00F82531" w:rsidP="005E2801">
      <w:pPr>
        <w:pStyle w:val="Bullets"/>
      </w:pPr>
      <w:r w:rsidRPr="003F6306">
        <w:t>This year we significantly expanded our oversight of youth justice</w:t>
      </w:r>
      <w:r w:rsidRPr="003F6306">
        <w:rPr>
          <w:spacing w:val="11"/>
        </w:rPr>
        <w:t xml:space="preserve"> </w:t>
      </w:r>
      <w:r w:rsidRPr="003F6306">
        <w:t>centres.</w:t>
      </w:r>
      <w:r w:rsidR="005E2801">
        <w:t xml:space="preserve"> </w:t>
      </w:r>
      <w:r w:rsidRPr="003F6306">
        <w:t xml:space="preserve">Through regular visits to youth justice centres by our Commissioners, staff and independent visitors, we raised concerns about conditions and the treatment of children and young people with youth justice management and the Minister for Families and Children. </w:t>
      </w:r>
      <w:r w:rsidRPr="003F6306">
        <w:rPr>
          <w:spacing w:val="-3"/>
        </w:rPr>
        <w:t xml:space="preserve">We </w:t>
      </w:r>
      <w:r w:rsidRPr="003F6306">
        <w:t>increased our monitoring role when children were held in a unit within Barwon Prison, visiting at least weekly and raising issues of</w:t>
      </w:r>
      <w:r w:rsidRPr="003F6306">
        <w:rPr>
          <w:spacing w:val="16"/>
        </w:rPr>
        <w:t xml:space="preserve"> </w:t>
      </w:r>
      <w:r w:rsidRPr="003F6306">
        <w:t>concern.</w:t>
      </w:r>
    </w:p>
    <w:p w:rsidR="007A01BD" w:rsidRPr="003F6306" w:rsidRDefault="00F82531" w:rsidP="005E2801">
      <w:pPr>
        <w:pStyle w:val="Bullets"/>
      </w:pPr>
      <w:r w:rsidRPr="003F6306">
        <w:rPr>
          <w:spacing w:val="-3"/>
        </w:rPr>
        <w:t xml:space="preserve">We </w:t>
      </w:r>
      <w:r w:rsidRPr="003F6306">
        <w:t xml:space="preserve">tabled our inquiry report, </w:t>
      </w:r>
      <w:r w:rsidRPr="003F6306">
        <w:rPr>
          <w:i/>
        </w:rPr>
        <w:t>The same four walls</w:t>
      </w:r>
      <w:r w:rsidRPr="003F6306">
        <w:t xml:space="preserve">, which made </w:t>
      </w:r>
      <w:r w:rsidRPr="003F6306">
        <w:rPr>
          <w:spacing w:val="-3"/>
        </w:rPr>
        <w:t>21</w:t>
      </w:r>
      <w:r w:rsidRPr="003F6306">
        <w:rPr>
          <w:spacing w:val="15"/>
        </w:rPr>
        <w:t xml:space="preserve"> </w:t>
      </w:r>
      <w:r w:rsidRPr="003F6306">
        <w:t>recommendations</w:t>
      </w:r>
      <w:r w:rsidR="005E2801">
        <w:t xml:space="preserve"> </w:t>
      </w:r>
      <w:r w:rsidRPr="003F6306">
        <w:t>to address the excessive use of isolation, separation and lockdowns in youth justice facilities. The Victorian Government accepted all our recommendations.</w:t>
      </w:r>
    </w:p>
    <w:p w:rsidR="007A01BD" w:rsidRPr="003F6306" w:rsidRDefault="00F82531" w:rsidP="005E2801">
      <w:pPr>
        <w:pStyle w:val="Bullets"/>
      </w:pPr>
      <w:r w:rsidRPr="003F6306">
        <w:t>Our work in youth justice occurred in the context of significant community concern about youth offending and disturbances in youth justice centres. Through our advice to government  and our  monitoring  activities, we sought to ensure Victoria’s youth justice system retains and strengthens its focus on rehabilitation and specialist, age-appropriate responses to offending by children and young</w:t>
      </w:r>
      <w:r w:rsidRPr="003F6306">
        <w:rPr>
          <w:spacing w:val="3"/>
        </w:rPr>
        <w:t xml:space="preserve"> </w:t>
      </w:r>
      <w:r w:rsidRPr="003F6306">
        <w:t>people.</w:t>
      </w:r>
    </w:p>
    <w:p w:rsidR="007A01BD" w:rsidRPr="003F6306" w:rsidRDefault="00F82531" w:rsidP="005E2801">
      <w:pPr>
        <w:pStyle w:val="Heading2"/>
      </w:pPr>
      <w:bookmarkStart w:id="18" w:name="_TOC_250026"/>
      <w:bookmarkStart w:id="19" w:name="_Toc496019817"/>
      <w:bookmarkEnd w:id="18"/>
      <w:r w:rsidRPr="003F6306">
        <w:t>Advocating for Aboriginal children in out-of-home care</w:t>
      </w:r>
      <w:bookmarkEnd w:id="19"/>
    </w:p>
    <w:p w:rsidR="007A01BD" w:rsidRPr="003F6306" w:rsidRDefault="00F82531" w:rsidP="005E2801">
      <w:pPr>
        <w:pStyle w:val="Bullets"/>
      </w:pPr>
      <w:r w:rsidRPr="003F6306">
        <w:t>This year we continued our close engagement with Victoria’s Aboriginal community, listening to their stories and celebrating their work. Through</w:t>
      </w:r>
      <w:r w:rsidRPr="003F6306">
        <w:rPr>
          <w:spacing w:val="23"/>
        </w:rPr>
        <w:t xml:space="preserve"> </w:t>
      </w:r>
      <w:r w:rsidRPr="003F6306">
        <w:t>the</w:t>
      </w:r>
      <w:r w:rsidR="005E2801">
        <w:t xml:space="preserve"> </w:t>
      </w:r>
      <w:r w:rsidRPr="003F6306">
        <w:t xml:space="preserve">Commissioner for Aboriginal Children and </w:t>
      </w:r>
      <w:r w:rsidRPr="003F6306">
        <w:rPr>
          <w:spacing w:val="-4"/>
        </w:rPr>
        <w:t xml:space="preserve">Young </w:t>
      </w:r>
      <w:r w:rsidRPr="003F6306">
        <w:t>People, we pushed for self- determination for Aboriginal communities around decisions about how to care for their</w:t>
      </w:r>
      <w:r w:rsidRPr="003F6306">
        <w:rPr>
          <w:spacing w:val="6"/>
        </w:rPr>
        <w:t xml:space="preserve"> </w:t>
      </w:r>
      <w:r w:rsidRPr="003F6306">
        <w:t>children.</w:t>
      </w:r>
    </w:p>
    <w:p w:rsidR="007A01BD" w:rsidRPr="003F6306" w:rsidRDefault="00F82531" w:rsidP="005E2801">
      <w:pPr>
        <w:pStyle w:val="Bullets"/>
      </w:pPr>
      <w:r w:rsidRPr="003F6306">
        <w:rPr>
          <w:spacing w:val="-3"/>
        </w:rPr>
        <w:t xml:space="preserve">We </w:t>
      </w:r>
      <w:r w:rsidRPr="003F6306">
        <w:t>tabled two landmark reports about Aboriginal children in out-of-home</w:t>
      </w:r>
      <w:r w:rsidRPr="003F6306">
        <w:rPr>
          <w:spacing w:val="16"/>
        </w:rPr>
        <w:t xml:space="preserve"> </w:t>
      </w:r>
      <w:r w:rsidRPr="003F6306">
        <w:t>care.</w:t>
      </w:r>
      <w:r w:rsidR="005E2801">
        <w:t xml:space="preserve"> </w:t>
      </w:r>
      <w:r w:rsidRPr="003F6306">
        <w:t xml:space="preserve">Our inquiries, </w:t>
      </w:r>
      <w:r w:rsidRPr="003F6306">
        <w:rPr>
          <w:i/>
        </w:rPr>
        <w:t xml:space="preserve">In the child’s best interests </w:t>
      </w:r>
      <w:r w:rsidRPr="003F6306">
        <w:t xml:space="preserve">and </w:t>
      </w:r>
      <w:r w:rsidRPr="003F6306">
        <w:rPr>
          <w:i/>
        </w:rPr>
        <w:t>Always was, always will be Koori children</w:t>
      </w:r>
      <w:r w:rsidRPr="003F6306">
        <w:t>, revealed widespread non-compliance in Victoria with laws designed to prevent Aboriginal children being disconnected from their families, culture and communities.</w:t>
      </w:r>
    </w:p>
    <w:p w:rsidR="00540D7A" w:rsidRDefault="00F82531" w:rsidP="005E2801">
      <w:pPr>
        <w:pStyle w:val="Bullets"/>
      </w:pPr>
      <w:r w:rsidRPr="003F6306">
        <w:t>We made 133 recommendations that were accepted by government and are on track to be implemented.</w:t>
      </w:r>
      <w:r w:rsidR="005E2801">
        <w:t xml:space="preserve"> </w:t>
      </w:r>
      <w:r w:rsidRPr="003F6306">
        <w:rPr>
          <w:spacing w:val="-2"/>
        </w:rPr>
        <w:t xml:space="preserve">Key </w:t>
      </w:r>
      <w:r w:rsidRPr="003F6306">
        <w:t>actions that resulted from these recommendations will allow Aboriginal communities, rather than government agencies, to be responsible for decisions about Aboriginal children in out-of-home care. The government has also committed to transferring parental responsibility for Aboriginal  children  on  protection  orders to ACCOs, with the cases of all Aboriginal children on protection orders to</w:t>
      </w:r>
      <w:r w:rsidRPr="003F6306">
        <w:rPr>
          <w:spacing w:val="15"/>
        </w:rPr>
        <w:t xml:space="preserve"> </w:t>
      </w:r>
      <w:r w:rsidRPr="003F6306">
        <w:t>be</w:t>
      </w:r>
      <w:r w:rsidR="00540D7A">
        <w:t xml:space="preserve"> </w:t>
      </w:r>
      <w:r w:rsidRPr="003F6306">
        <w:t>transferred to these organisations by 2021.</w:t>
      </w:r>
      <w:bookmarkStart w:id="20" w:name="_TOC_250025"/>
      <w:bookmarkEnd w:id="20"/>
    </w:p>
    <w:p w:rsidR="007A01BD" w:rsidRPr="003F6306" w:rsidRDefault="00F82531" w:rsidP="005E2801">
      <w:pPr>
        <w:pStyle w:val="Heading2"/>
      </w:pPr>
      <w:bookmarkStart w:id="21" w:name="_Toc496019818"/>
      <w:r w:rsidRPr="003F6306">
        <w:t xml:space="preserve">Ensuring children experiencing </w:t>
      </w:r>
      <w:r w:rsidRPr="005E2801">
        <w:t>family</w:t>
      </w:r>
      <w:r w:rsidRPr="003F6306">
        <w:t xml:space="preserve"> violence are heard</w:t>
      </w:r>
      <w:bookmarkEnd w:id="21"/>
    </w:p>
    <w:p w:rsidR="007A01BD" w:rsidRPr="003F6306" w:rsidRDefault="00F82531" w:rsidP="005E2801">
      <w:pPr>
        <w:pStyle w:val="Bullets"/>
      </w:pPr>
      <w:r w:rsidRPr="003F6306">
        <w:t>The recommendations of the Royal Commission into Family Violence featured prominently in this year’s policy and legislative reform agenda in</w:t>
      </w:r>
      <w:r w:rsidRPr="003F6306">
        <w:rPr>
          <w:spacing w:val="16"/>
        </w:rPr>
        <w:t xml:space="preserve"> </w:t>
      </w:r>
      <w:r w:rsidRPr="003F6306">
        <w:t>Victoria.</w:t>
      </w:r>
      <w:r w:rsidR="005E2801">
        <w:t xml:space="preserve"> </w:t>
      </w:r>
      <w:r w:rsidRPr="003F6306">
        <w:t>Ensuring these vital reforms deliver change for children affected by family violence was a considerable focus of our work.</w:t>
      </w:r>
    </w:p>
    <w:p w:rsidR="007A01BD" w:rsidRPr="003F6306" w:rsidRDefault="00F82531" w:rsidP="005E2801">
      <w:pPr>
        <w:pStyle w:val="Bullets"/>
      </w:pPr>
      <w:r w:rsidRPr="003F6306">
        <w:t>The Commissioners, through their membership of the Social Services Taskforce, the Family Violence Steering Committee and several other forums, continued to highlight the experiences of children and young people as victims of family violence in their own right. They called on the government to ensure Victoria’s response to family violence addresses children’s specific</w:t>
      </w:r>
      <w:r w:rsidRPr="003F6306">
        <w:rPr>
          <w:spacing w:val="5"/>
        </w:rPr>
        <w:t xml:space="preserve"> </w:t>
      </w:r>
      <w:r w:rsidRPr="003F6306">
        <w:t>needs.</w:t>
      </w:r>
    </w:p>
    <w:p w:rsidR="00540D7A" w:rsidRDefault="00F82531" w:rsidP="005E2801">
      <w:pPr>
        <w:pStyle w:val="Bullets"/>
      </w:pPr>
      <w:r w:rsidRPr="003F6306">
        <w:rPr>
          <w:spacing w:val="-3"/>
        </w:rPr>
        <w:t xml:space="preserve">We </w:t>
      </w:r>
      <w:r w:rsidRPr="003F6306">
        <w:t xml:space="preserve">finalised our inquiry </w:t>
      </w:r>
      <w:r w:rsidRPr="003F6306">
        <w:rPr>
          <w:i/>
        </w:rPr>
        <w:t>Neither seen nor heard</w:t>
      </w:r>
      <w:r w:rsidRPr="003F6306">
        <w:t>, which focused on children who had been involved with Child Protection and  died  having  experienced  family  violence. Our findings echoed problems identified by the Royal Commission into Family Violence and revealed that further improvements must be made in a number of areas. These include Child Protection’s response to family violence, responses to Aboriginal children and families affected by family</w:t>
      </w:r>
      <w:r w:rsidRPr="003F6306">
        <w:rPr>
          <w:spacing w:val="11"/>
        </w:rPr>
        <w:t xml:space="preserve"> </w:t>
      </w:r>
      <w:r w:rsidRPr="003F6306">
        <w:t>violence,</w:t>
      </w:r>
      <w:r w:rsidR="005E2801">
        <w:t xml:space="preserve"> </w:t>
      </w:r>
      <w:r w:rsidRPr="003F6306">
        <w:t>and strengthening the identification of and response to child sexual abuse. All our recommendations were accepted by</w:t>
      </w:r>
      <w:r w:rsidR="005E2801">
        <w:t xml:space="preserve"> </w:t>
      </w:r>
      <w:r w:rsidRPr="003F6306">
        <w:t>the government.</w:t>
      </w:r>
    </w:p>
    <w:p w:rsidR="007A01BD" w:rsidRPr="003F6306" w:rsidRDefault="00F82531" w:rsidP="005E2801">
      <w:pPr>
        <w:pStyle w:val="Heading2"/>
      </w:pPr>
      <w:bookmarkStart w:id="22" w:name="_Toc496019819"/>
      <w:r w:rsidRPr="003F6306">
        <w:lastRenderedPageBreak/>
        <w:t>Promoting children’s safety in organisations</w:t>
      </w:r>
      <w:bookmarkEnd w:id="22"/>
    </w:p>
    <w:p w:rsidR="007A01BD" w:rsidRPr="003F6306" w:rsidRDefault="00F82531" w:rsidP="005E2801">
      <w:pPr>
        <w:pStyle w:val="Bullets"/>
      </w:pPr>
      <w:r w:rsidRPr="003F6306">
        <w:t xml:space="preserve">This year we established two new functions: the Child Safe Standards and the Reportable Conduct Scheme. </w:t>
      </w:r>
      <w:r w:rsidRPr="003F6306">
        <w:rPr>
          <w:spacing w:val="-3"/>
        </w:rPr>
        <w:t xml:space="preserve">We </w:t>
      </w:r>
      <w:r w:rsidRPr="003F6306">
        <w:t>are proud to be responsible for administering these two schemes, which represent a complementary approach to preventing child abuse by ensuring everyone takes responsibility for keeping children</w:t>
      </w:r>
      <w:r w:rsidRPr="003F6306">
        <w:rPr>
          <w:spacing w:val="6"/>
        </w:rPr>
        <w:t xml:space="preserve"> </w:t>
      </w:r>
      <w:r w:rsidRPr="003F6306">
        <w:t>safe.</w:t>
      </w:r>
    </w:p>
    <w:p w:rsidR="007A01BD" w:rsidRPr="003F6306" w:rsidRDefault="00F82531" w:rsidP="005E2801">
      <w:pPr>
        <w:pStyle w:val="Bullets"/>
      </w:pPr>
      <w:r w:rsidRPr="003F6306">
        <w:t>The introduction of our new functions</w:t>
      </w:r>
      <w:r w:rsidRPr="003F6306">
        <w:rPr>
          <w:spacing w:val="20"/>
        </w:rPr>
        <w:t xml:space="preserve"> </w:t>
      </w:r>
      <w:r w:rsidRPr="003F6306">
        <w:t>led</w:t>
      </w:r>
      <w:r w:rsidR="005E2801">
        <w:t xml:space="preserve"> </w:t>
      </w:r>
      <w:r w:rsidRPr="003F6306">
        <w:t>to enormous change and growth in the skills and size of our workplace. In 2016–17, we grew from 31 to 53 staff.</w:t>
      </w:r>
    </w:p>
    <w:p w:rsidR="005E2801" w:rsidRDefault="00F82531" w:rsidP="005E2801">
      <w:pPr>
        <w:pStyle w:val="Bullets"/>
      </w:pPr>
      <w:r w:rsidRPr="003F6306">
        <w:rPr>
          <w:spacing w:val="-3"/>
        </w:rPr>
        <w:t xml:space="preserve">We </w:t>
      </w:r>
      <w:r w:rsidRPr="003F6306">
        <w:t>worked hard to educate hundreds of organisations about their new</w:t>
      </w:r>
      <w:r w:rsidRPr="003F6306">
        <w:rPr>
          <w:spacing w:val="18"/>
        </w:rPr>
        <w:t xml:space="preserve"> </w:t>
      </w:r>
      <w:r w:rsidRPr="003F6306">
        <w:t>obligations</w:t>
      </w:r>
      <w:r w:rsidRPr="003F6306">
        <w:rPr>
          <w:spacing w:val="3"/>
        </w:rPr>
        <w:t xml:space="preserve"> </w:t>
      </w:r>
      <w:r w:rsidRPr="003F6306">
        <w:t xml:space="preserve">to create a child-safe culture and to prevent abuse. </w:t>
      </w:r>
      <w:r w:rsidRPr="003F6306">
        <w:rPr>
          <w:spacing w:val="-3"/>
        </w:rPr>
        <w:t xml:space="preserve">We </w:t>
      </w:r>
      <w:r w:rsidRPr="003F6306">
        <w:t>delivered information sessions, ran a helpline, embarked on a digital campaign to spread our message about child safety, and developed resources for organisations covered by the</w:t>
      </w:r>
      <w:r w:rsidRPr="003F6306">
        <w:rPr>
          <w:spacing w:val="15"/>
        </w:rPr>
        <w:t xml:space="preserve"> </w:t>
      </w:r>
      <w:r w:rsidRPr="003F6306">
        <w:t>schemes.</w:t>
      </w:r>
      <w:r w:rsidR="005E2801">
        <w:t xml:space="preserve"> </w:t>
      </w:r>
    </w:p>
    <w:p w:rsidR="005E2801" w:rsidRDefault="00F82531" w:rsidP="005E2801">
      <w:pPr>
        <w:pStyle w:val="Bullets"/>
      </w:pPr>
      <w:r w:rsidRPr="003F6306">
        <w:t>There was also considerable internal activity to set up our new functions and</w:t>
      </w:r>
      <w:r w:rsidRPr="003F6306">
        <w:rPr>
          <w:spacing w:val="15"/>
        </w:rPr>
        <w:t xml:space="preserve"> </w:t>
      </w:r>
      <w:r w:rsidRPr="003F6306">
        <w:t>prepare</w:t>
      </w:r>
      <w:r w:rsidR="005E2801">
        <w:t xml:space="preserve"> </w:t>
      </w:r>
      <w:r w:rsidRPr="003F6306">
        <w:t>to administer the Reportable Conduct Scheme. In particular, we rebuilt our website and developed a new case management system to receive, manage and oversee allegations of reportable conduct from a range of organisations</w:t>
      </w:r>
      <w:bookmarkStart w:id="23" w:name="_TOC_250023"/>
      <w:bookmarkEnd w:id="23"/>
      <w:r w:rsidR="005E2801">
        <w:t>.</w:t>
      </w:r>
    </w:p>
    <w:p w:rsidR="00412857" w:rsidRDefault="00412857" w:rsidP="00412857">
      <w:pPr>
        <w:rPr>
          <w:rFonts w:eastAsiaTheme="majorEastAsia"/>
          <w:b/>
          <w:sz w:val="28"/>
          <w:szCs w:val="32"/>
        </w:rPr>
      </w:pPr>
      <w:r>
        <w:br w:type="page"/>
      </w:r>
    </w:p>
    <w:p w:rsidR="00412857" w:rsidRDefault="00F82531" w:rsidP="00540D7A">
      <w:pPr>
        <w:pStyle w:val="Heading1"/>
        <w:rPr>
          <w:color w:val="auto"/>
        </w:rPr>
      </w:pPr>
      <w:bookmarkStart w:id="24" w:name="_Toc496019820"/>
      <w:r w:rsidRPr="003F6306">
        <w:rPr>
          <w:color w:val="auto"/>
        </w:rPr>
        <w:lastRenderedPageBreak/>
        <w:t>Oversight and monitoring</w:t>
      </w:r>
      <w:bookmarkStart w:id="25" w:name="_TOC_250022"/>
      <w:bookmarkEnd w:id="25"/>
      <w:bookmarkEnd w:id="24"/>
    </w:p>
    <w:p w:rsidR="007A01BD" w:rsidRPr="003F6306" w:rsidRDefault="00F82531" w:rsidP="00540D7A">
      <w:pPr>
        <w:pStyle w:val="Heading1"/>
        <w:rPr>
          <w:color w:val="auto"/>
        </w:rPr>
      </w:pPr>
      <w:bookmarkStart w:id="26" w:name="_Toc496019821"/>
      <w:r w:rsidRPr="003F6306">
        <w:rPr>
          <w:color w:val="auto"/>
        </w:rPr>
        <w:t>Overview</w:t>
      </w:r>
      <w:bookmarkEnd w:id="26"/>
    </w:p>
    <w:p w:rsidR="007A01BD" w:rsidRPr="003F6306" w:rsidRDefault="00F82531" w:rsidP="00412857">
      <w:r w:rsidRPr="003F6306">
        <w:t>Our activity as an independent oversight and monitoring body continued to improve transparency, accountability and safety in services for children and young people, particularly across youth justice centres, out-of-home care and child protection.</w:t>
      </w:r>
    </w:p>
    <w:p w:rsidR="007A01BD" w:rsidRPr="003F6306" w:rsidRDefault="00F82531" w:rsidP="00412857">
      <w:r w:rsidRPr="003F6306">
        <w:t>Our inquiries into services provided to children help identify areas that need to be improved, so systemic failings are not repeated in the future.</w:t>
      </w:r>
    </w:p>
    <w:p w:rsidR="007A01BD" w:rsidRPr="003F6306" w:rsidRDefault="00F82531" w:rsidP="00412857">
      <w:r w:rsidRPr="003F6306">
        <w:t xml:space="preserve">Altogether, our public systemic inquiries gave rise to </w:t>
      </w:r>
      <w:r w:rsidRPr="003F6306">
        <w:rPr>
          <w:spacing w:val="-5"/>
        </w:rPr>
        <w:t xml:space="preserve">167 </w:t>
      </w:r>
      <w:r w:rsidRPr="003F6306">
        <w:t xml:space="preserve">recommendations. Each was accepted and many have been actioned or are in-train, leading to immediate improvements for children and young people. </w:t>
      </w:r>
      <w:r w:rsidRPr="003F6306">
        <w:rPr>
          <w:spacing w:val="-3"/>
        </w:rPr>
        <w:t>We</w:t>
      </w:r>
      <w:r w:rsidRPr="003F6306">
        <w:rPr>
          <w:spacing w:val="15"/>
        </w:rPr>
        <w:t xml:space="preserve"> </w:t>
      </w:r>
      <w:r w:rsidRPr="003F6306">
        <w:t>continueto keep a close eye on the progress of recommendations from our inquiries this year and last year.</w:t>
      </w:r>
    </w:p>
    <w:p w:rsidR="007A01BD" w:rsidRPr="003F6306" w:rsidRDefault="00F82531" w:rsidP="00412857">
      <w:r w:rsidRPr="003F6306">
        <w:t>This year, we strengthened our monitoring of conditions in youth justice centres, seeking follow-up information about more than a third of incidents reported to us. We also implemented staff inspections when centres were especially unsettled, and while children were kept at the Grevillea unit in Barwon Prison.</w:t>
      </w:r>
    </w:p>
    <w:p w:rsidR="00412857" w:rsidRDefault="00F82531" w:rsidP="00412857">
      <w:r w:rsidRPr="003F6306">
        <w:t>Our child death inquiries focused on improving systems and services for children in the child protection system. This resulted in 51 recommendations compared to 12 in the previous year.</w:t>
      </w:r>
    </w:p>
    <w:p w:rsidR="007A01BD" w:rsidRPr="003F6306" w:rsidRDefault="00F82531" w:rsidP="00412857">
      <w:r w:rsidRPr="003F6306">
        <w:t>2016–17 was our most active year yet, with five systemic inquiries, which examined the following areas:</w:t>
      </w:r>
    </w:p>
    <w:p w:rsidR="007A01BD" w:rsidRPr="003F6306" w:rsidRDefault="00F82531" w:rsidP="005E2801">
      <w:pPr>
        <w:pStyle w:val="Bullets"/>
      </w:pPr>
      <w:r w:rsidRPr="003F6306">
        <w:t>compliance with the Aboriginal Child Placement</w:t>
      </w:r>
      <w:r w:rsidRPr="003F6306">
        <w:rPr>
          <w:spacing w:val="8"/>
        </w:rPr>
        <w:t xml:space="preserve"> </w:t>
      </w:r>
      <w:r w:rsidRPr="003F6306">
        <w:t>Principle</w:t>
      </w:r>
      <w:r w:rsidR="005E2801">
        <w:t xml:space="preserve"> </w:t>
      </w:r>
      <w:r w:rsidRPr="003F6306">
        <w:t>in Victoria</w:t>
      </w:r>
    </w:p>
    <w:p w:rsidR="007A01BD" w:rsidRPr="003F6306" w:rsidRDefault="00F82531" w:rsidP="005E2801">
      <w:pPr>
        <w:pStyle w:val="Bullets"/>
      </w:pPr>
      <w:r w:rsidRPr="003F6306">
        <w:t>the experience of Aboriginal children in out-of-home</w:t>
      </w:r>
      <w:r w:rsidRPr="003F6306">
        <w:rPr>
          <w:spacing w:val="-12"/>
        </w:rPr>
        <w:t xml:space="preserve"> </w:t>
      </w:r>
      <w:r w:rsidRPr="003F6306">
        <w:t>care</w:t>
      </w:r>
    </w:p>
    <w:p w:rsidR="007A01BD" w:rsidRPr="003F6306" w:rsidRDefault="00F82531" w:rsidP="005E2801">
      <w:pPr>
        <w:pStyle w:val="Bullets"/>
      </w:pPr>
      <w:r w:rsidRPr="003F6306">
        <w:t>the use of isolation and related practices in youth justice centres</w:t>
      </w:r>
    </w:p>
    <w:p w:rsidR="007A01BD" w:rsidRPr="003F6306" w:rsidRDefault="00F82531" w:rsidP="005E2801">
      <w:pPr>
        <w:pStyle w:val="Bullets"/>
      </w:pPr>
      <w:r w:rsidRPr="003F6306">
        <w:t xml:space="preserve">responses </w:t>
      </w:r>
      <w:r w:rsidRPr="003F6306">
        <w:rPr>
          <w:spacing w:val="-3"/>
        </w:rPr>
        <w:t xml:space="preserve">to </w:t>
      </w:r>
      <w:r w:rsidRPr="003F6306">
        <w:t>children affected by family</w:t>
      </w:r>
      <w:r w:rsidRPr="003F6306">
        <w:rPr>
          <w:spacing w:val="8"/>
        </w:rPr>
        <w:t xml:space="preserve"> </w:t>
      </w:r>
      <w:r w:rsidRPr="003F6306">
        <w:t>violence</w:t>
      </w:r>
    </w:p>
    <w:p w:rsidR="007A01BD" w:rsidRPr="003F6306" w:rsidRDefault="00F82531" w:rsidP="005E2801">
      <w:pPr>
        <w:pStyle w:val="Bullets"/>
      </w:pPr>
      <w:r w:rsidRPr="003F6306">
        <w:t xml:space="preserve">the impact of permanency amendments </w:t>
      </w:r>
      <w:r w:rsidRPr="003F6306">
        <w:rPr>
          <w:spacing w:val="-3"/>
        </w:rPr>
        <w:t xml:space="preserve">to Victoria’s </w:t>
      </w:r>
      <w:r w:rsidRPr="003F6306">
        <w:t>child protection</w:t>
      </w:r>
      <w:r w:rsidRPr="003F6306">
        <w:rPr>
          <w:spacing w:val="-12"/>
        </w:rPr>
        <w:t xml:space="preserve"> </w:t>
      </w:r>
      <w:r w:rsidRPr="003F6306">
        <w:t>laws.</w:t>
      </w:r>
    </w:p>
    <w:p w:rsidR="007A01BD" w:rsidRPr="003F6306" w:rsidRDefault="00F82531" w:rsidP="00412857">
      <w:pPr>
        <w:rPr>
          <w:sz w:val="30"/>
        </w:rPr>
      </w:pPr>
      <w:r w:rsidRPr="003F6306">
        <w:t>Our oversight and monitoring work this year reflects our steadfast commitment to ensuring the rights of Victorian children are upheld, by scrutinising services, holding government and providers to account, and driving improvements.</w:t>
      </w:r>
    </w:p>
    <w:p w:rsidR="007A01BD" w:rsidRPr="003F6306" w:rsidRDefault="00F82531" w:rsidP="00412857">
      <w:pPr>
        <w:pStyle w:val="Heading2"/>
      </w:pPr>
      <w:bookmarkStart w:id="27" w:name="_TOC_250021"/>
      <w:bookmarkStart w:id="28" w:name="_Toc496019822"/>
      <w:bookmarkEnd w:id="27"/>
      <w:r w:rsidRPr="00412857">
        <w:t>Systemic</w:t>
      </w:r>
      <w:r w:rsidRPr="003F6306">
        <w:t xml:space="preserve"> inquiries</w:t>
      </w:r>
      <w:bookmarkEnd w:id="28"/>
    </w:p>
    <w:p w:rsidR="007A01BD" w:rsidRPr="003F6306" w:rsidRDefault="00F82531" w:rsidP="00412857">
      <w:r w:rsidRPr="003F6306">
        <w:t>We completed five systemic inquiries. The Commission initiated four, and the Minister for Families and Children recommended one.</w:t>
      </w:r>
    </w:p>
    <w:p w:rsidR="007A01BD" w:rsidRPr="003F6306" w:rsidRDefault="00F82531" w:rsidP="00412857">
      <w:pPr>
        <w:pStyle w:val="Heading3"/>
      </w:pPr>
      <w:r w:rsidRPr="003F6306">
        <w:t>In the child’s best interests</w:t>
      </w:r>
    </w:p>
    <w:p w:rsidR="007A01BD" w:rsidRPr="003F6306" w:rsidRDefault="00F82531" w:rsidP="00412857">
      <w:r w:rsidRPr="003F6306">
        <w:rPr>
          <w:spacing w:val="-3"/>
        </w:rPr>
        <w:t xml:space="preserve">We </w:t>
      </w:r>
      <w:r w:rsidRPr="003F6306">
        <w:t>found Victorian child protection services were not complying with vital protections put  in place across Australia to prevent a repetition of the impact of Stolen Generation</w:t>
      </w:r>
      <w:r w:rsidRPr="003F6306">
        <w:rPr>
          <w:spacing w:val="21"/>
        </w:rPr>
        <w:t xml:space="preserve"> </w:t>
      </w:r>
      <w:r w:rsidRPr="003F6306">
        <w:t>policies.</w:t>
      </w:r>
    </w:p>
    <w:p w:rsidR="007A01BD" w:rsidRPr="003F6306" w:rsidRDefault="00F82531" w:rsidP="00412857">
      <w:r w:rsidRPr="003F6306">
        <w:t>Our inquiry into compliance with the intent of the ACPP in Victoria was tabled in the Victorian Parliament in October 2016.</w:t>
      </w:r>
    </w:p>
    <w:p w:rsidR="00412857" w:rsidRDefault="00F82531" w:rsidP="00412857">
      <w:r w:rsidRPr="003F6306">
        <w:t>The inquiry found that little effort was being put into placing Aboriginal children in out-of</w:t>
      </w:r>
      <w:r w:rsidR="00412857" w:rsidRPr="00412857">
        <w:t xml:space="preserve"> </w:t>
      </w:r>
      <w:r w:rsidR="00412857" w:rsidRPr="003F6306">
        <w:t>home care with Aboriginal families or Aboriginal carers, or keeping them connected with culture and community as required by the ACPP</w:t>
      </w:r>
      <w:r w:rsidR="002255D5">
        <w:t>.</w:t>
      </w:r>
      <w:r w:rsidR="00412857" w:rsidRPr="003F6306">
        <w:t xml:space="preserve"> </w:t>
      </w:r>
    </w:p>
    <w:p w:rsidR="005E2801" w:rsidRDefault="005E2801">
      <w:pPr>
        <w:spacing w:before="0"/>
      </w:pPr>
      <w:r>
        <w:br w:type="page"/>
      </w:r>
    </w:p>
    <w:p w:rsidR="007A01BD" w:rsidRPr="003F6306" w:rsidRDefault="00F82531" w:rsidP="00412857">
      <w:r w:rsidRPr="003F6306">
        <w:lastRenderedPageBreak/>
        <w:t>In a sample of 65 cases of Aboriginal children, we did not find a single case where agencies had complied with all the requirements of the ACPP. Some systemic barriers to implementing the ACPP included:</w:t>
      </w:r>
    </w:p>
    <w:p w:rsidR="007A01BD" w:rsidRPr="003F6306" w:rsidRDefault="00F82531" w:rsidP="00412857">
      <w:pPr>
        <w:pStyle w:val="Bullets"/>
      </w:pPr>
      <w:r w:rsidRPr="003F6306">
        <w:t>unclear legislation that does not sufficiently articulate the intent of the</w:t>
      </w:r>
      <w:r w:rsidRPr="003F6306">
        <w:rPr>
          <w:spacing w:val="1"/>
        </w:rPr>
        <w:t xml:space="preserve"> </w:t>
      </w:r>
      <w:r w:rsidRPr="003F6306">
        <w:t>ACPP</w:t>
      </w:r>
    </w:p>
    <w:p w:rsidR="007A01BD" w:rsidRPr="003F6306" w:rsidRDefault="00F82531" w:rsidP="00412857">
      <w:pPr>
        <w:pStyle w:val="Bullets"/>
      </w:pPr>
      <w:r w:rsidRPr="003F6306">
        <w:t>insufficient capacity and funding of</w:t>
      </w:r>
      <w:r w:rsidRPr="003F6306">
        <w:rPr>
          <w:spacing w:val="6"/>
        </w:rPr>
        <w:t xml:space="preserve"> </w:t>
      </w:r>
      <w:r w:rsidRPr="003F6306">
        <w:t>agencies</w:t>
      </w:r>
    </w:p>
    <w:p w:rsidR="007A01BD" w:rsidRPr="003F6306" w:rsidRDefault="00F82531" w:rsidP="00412857">
      <w:pPr>
        <w:pStyle w:val="Bullets"/>
      </w:pPr>
      <w:r w:rsidRPr="003F6306">
        <w:t>poor policy and practice</w:t>
      </w:r>
      <w:r w:rsidRPr="003F6306">
        <w:rPr>
          <w:spacing w:val="20"/>
        </w:rPr>
        <w:t xml:space="preserve"> </w:t>
      </w:r>
      <w:r w:rsidRPr="003F6306">
        <w:t>guides</w:t>
      </w:r>
    </w:p>
    <w:p w:rsidR="007A01BD" w:rsidRPr="003F6306" w:rsidRDefault="00F82531" w:rsidP="00412857">
      <w:pPr>
        <w:pStyle w:val="Bullets"/>
      </w:pPr>
      <w:r w:rsidRPr="003F6306">
        <w:t>lack of Aboriginal</w:t>
      </w:r>
      <w:r w:rsidRPr="003F6306">
        <w:rPr>
          <w:spacing w:val="18"/>
        </w:rPr>
        <w:t xml:space="preserve"> </w:t>
      </w:r>
      <w:r w:rsidRPr="003F6306">
        <w:t>carers</w:t>
      </w:r>
    </w:p>
    <w:p w:rsidR="007A01BD" w:rsidRPr="003F6306" w:rsidRDefault="00F82531" w:rsidP="00412857">
      <w:pPr>
        <w:pStyle w:val="Bullets"/>
      </w:pPr>
      <w:r w:rsidRPr="003F6306">
        <w:t>the failure of Child Protection to prioritise cultural connectedness when making placement</w:t>
      </w:r>
      <w:r w:rsidRPr="003F6306">
        <w:rPr>
          <w:spacing w:val="16"/>
        </w:rPr>
        <w:t xml:space="preserve"> </w:t>
      </w:r>
      <w:r w:rsidRPr="003F6306">
        <w:t>decisions</w:t>
      </w:r>
    </w:p>
    <w:p w:rsidR="007A01BD" w:rsidRPr="003F6306" w:rsidRDefault="00F82531" w:rsidP="00412857">
      <w:pPr>
        <w:pStyle w:val="Bullets"/>
      </w:pPr>
      <w:r w:rsidRPr="003F6306">
        <w:t>insufficient DHHS oversight and accountability to ensure compliance with the</w:t>
      </w:r>
      <w:r w:rsidRPr="003F6306">
        <w:rPr>
          <w:spacing w:val="5"/>
        </w:rPr>
        <w:t xml:space="preserve"> </w:t>
      </w:r>
      <w:r w:rsidRPr="003F6306">
        <w:t>principle.</w:t>
      </w:r>
    </w:p>
    <w:p w:rsidR="007A01BD" w:rsidRPr="003F6306" w:rsidRDefault="00F82531" w:rsidP="00412857">
      <w:r w:rsidRPr="003F6306">
        <w:t>We made 54 recommendations to improve ACPP compliance and provide more opportunities for Aboriginal self-determination in child protection decisions.</w:t>
      </w:r>
    </w:p>
    <w:p w:rsidR="007A01BD" w:rsidRPr="003F6306" w:rsidRDefault="00F82531" w:rsidP="00412857">
      <w:r w:rsidRPr="003F6306">
        <w:t>A key recommendation was that the government develop a strategy and timeline to transfer parental responsibility for Aboriginal children  and young people who are subject to a child protection order, from the Secretary of DHHS to ACCOs. The work being done to implement this recommendation is discussed in more detail in the section, Improving Outcomes for Aboriginal Children (page</w:t>
      </w:r>
      <w:r w:rsidRPr="003F6306">
        <w:rPr>
          <w:spacing w:val="5"/>
        </w:rPr>
        <w:t xml:space="preserve"> </w:t>
      </w:r>
      <w:r w:rsidRPr="003F6306">
        <w:t>56).</w:t>
      </w:r>
    </w:p>
    <w:p w:rsidR="007A01BD" w:rsidRPr="003F6306" w:rsidRDefault="00F82531" w:rsidP="00412857">
      <w:pPr>
        <w:pStyle w:val="Heading3"/>
      </w:pPr>
      <w:r w:rsidRPr="003F6306">
        <w:t>Always was, always will be Koori children</w:t>
      </w:r>
    </w:p>
    <w:p w:rsidR="007A01BD" w:rsidRPr="003F6306" w:rsidRDefault="00F82531" w:rsidP="00412857">
      <w:r w:rsidRPr="003F6306">
        <w:t>Our inquiry into services for Aboriginal children and young people in out-of-home care in Victoria was tabled in October 2016.</w:t>
      </w:r>
    </w:p>
    <w:p w:rsidR="007A01BD" w:rsidRPr="003F6306" w:rsidRDefault="00F82531" w:rsidP="00412857">
      <w:r w:rsidRPr="003F6306">
        <w:t>The inquiry was based on the landmark Taskforce 1000, an 18-month project</w:t>
      </w:r>
      <w:r w:rsidR="005E2801">
        <w:t xml:space="preserve"> </w:t>
      </w:r>
      <w:r w:rsidRPr="003F6306">
        <w:t>co-chaired by the Commission and DHHS. Bringing together ACCOs, CSOs, government departments and the Aboriginal community, Taskforce 1000 examined the cases of 980 Aboriginal children in out-of-home care.</w:t>
      </w:r>
    </w:p>
    <w:p w:rsidR="007A01BD" w:rsidRPr="003F6306" w:rsidRDefault="00F82531" w:rsidP="00412857">
      <w:r w:rsidRPr="003F6306">
        <w:t>The inquiry found family violence, and alcohol and/or drug abuse by parents were the leading reasons Aboriginal children enter out-of-home care. Of the children reviewed, 88 per cent experienced family violence and 87 per cent had parents with alcohol or substance abuse issues. The inquiry also found the child protection system failed to preserve, promote and develop cultural safety and connection for Aboriginal children.</w:t>
      </w:r>
    </w:p>
    <w:p w:rsidR="007A01BD" w:rsidRPr="003F6306" w:rsidRDefault="00F82531" w:rsidP="00412857">
      <w:r w:rsidRPr="003F6306">
        <w:t xml:space="preserve">More than 60 per cent of the children reviewed during Taskforce 1000 were placed with a non- Aboriginal carer, </w:t>
      </w:r>
      <w:r w:rsidRPr="003F6306">
        <w:rPr>
          <w:spacing w:val="-7"/>
        </w:rPr>
        <w:t xml:space="preserve">41 </w:t>
      </w:r>
      <w:r w:rsidRPr="003F6306">
        <w:t>per cent were placed away from their extended family, and more than 40  per cent of children with siblings were separated from their brother or</w:t>
      </w:r>
      <w:r w:rsidRPr="003F6306">
        <w:rPr>
          <w:spacing w:val="20"/>
        </w:rPr>
        <w:t xml:space="preserve"> </w:t>
      </w:r>
      <w:r w:rsidRPr="003F6306">
        <w:rPr>
          <w:spacing w:val="-3"/>
        </w:rPr>
        <w:t>sister.</w:t>
      </w:r>
    </w:p>
    <w:p w:rsidR="007A01BD" w:rsidRPr="003F6306" w:rsidRDefault="00F82531" w:rsidP="00412857">
      <w:r w:rsidRPr="003F6306">
        <w:t>We made 79 recommendations to improve policies and practices for Aboriginal children in out-of-home care. The recommendations included:</w:t>
      </w:r>
    </w:p>
    <w:p w:rsidR="00412857" w:rsidRPr="00412857" w:rsidRDefault="00F82531" w:rsidP="00412857">
      <w:pPr>
        <w:pStyle w:val="Bullets"/>
        <w:rPr>
          <w:sz w:val="20"/>
        </w:rPr>
      </w:pPr>
      <w:r w:rsidRPr="003F6306">
        <w:t>that a strategy be developed, with timelines and an action plan, to transfer the case management of Aboriginal children and young people to ACCOs</w:t>
      </w:r>
    </w:p>
    <w:p w:rsidR="007A01BD" w:rsidRPr="00412857" w:rsidRDefault="00F82531" w:rsidP="005E2801">
      <w:pPr>
        <w:pStyle w:val="Bullets"/>
      </w:pPr>
      <w:r w:rsidRPr="00412857">
        <w:t xml:space="preserve">a </w:t>
      </w:r>
      <w:r w:rsidRPr="005E2801">
        <w:t>range</w:t>
      </w:r>
      <w:r w:rsidRPr="00412857">
        <w:t xml:space="preserve"> of measures to increase the inclusion of Aboriginal people in the Child Protection workforce, such as the establishment of Aboriginal Principal Practitioners and increased funding</w:t>
      </w:r>
      <w:r w:rsidRPr="00412857">
        <w:rPr>
          <w:spacing w:val="26"/>
        </w:rPr>
        <w:t xml:space="preserve"> </w:t>
      </w:r>
      <w:r w:rsidRPr="00412857">
        <w:t>for</w:t>
      </w:r>
    </w:p>
    <w:p w:rsidR="007A01BD" w:rsidRPr="003F6306" w:rsidRDefault="00F82531" w:rsidP="00412857">
      <w:pPr>
        <w:pStyle w:val="Bullets"/>
      </w:pPr>
      <w:r w:rsidRPr="003F6306">
        <w:t>the Aboriginal Child Specialist Advice and Support Service (ACSASS)</w:t>
      </w:r>
    </w:p>
    <w:p w:rsidR="007A01BD" w:rsidRPr="003F6306" w:rsidRDefault="00F82531" w:rsidP="00412857">
      <w:pPr>
        <w:pStyle w:val="Bullets"/>
      </w:pPr>
      <w:r w:rsidRPr="003F6306">
        <w:t xml:space="preserve">policies and practices to ensure Aboriginal children and young people in out-of-home care maintain meaningful </w:t>
      </w:r>
      <w:r w:rsidRPr="00412857">
        <w:t>connections</w:t>
      </w:r>
      <w:r w:rsidRPr="003F6306">
        <w:t xml:space="preserve"> with their culture and</w:t>
      </w:r>
      <w:r w:rsidRPr="003F6306">
        <w:rPr>
          <w:spacing w:val="16"/>
        </w:rPr>
        <w:t xml:space="preserve"> </w:t>
      </w:r>
      <w:r w:rsidRPr="003F6306">
        <w:t>community</w:t>
      </w:r>
    </w:p>
    <w:p w:rsidR="007A01BD" w:rsidRPr="003F6306" w:rsidRDefault="00F82531" w:rsidP="00412857">
      <w:pPr>
        <w:pStyle w:val="Bullets"/>
      </w:pPr>
      <w:r w:rsidRPr="003F6306">
        <w:t xml:space="preserve">strengthening programs and services that help </w:t>
      </w:r>
      <w:r w:rsidRPr="00412857">
        <w:t>Aboriginal</w:t>
      </w:r>
      <w:r w:rsidRPr="003F6306">
        <w:t xml:space="preserve"> children and young people, and their families, address family violence and inter-generational</w:t>
      </w:r>
      <w:r w:rsidRPr="003F6306">
        <w:rPr>
          <w:spacing w:val="16"/>
        </w:rPr>
        <w:t xml:space="preserve"> </w:t>
      </w:r>
      <w:r w:rsidRPr="003F6306">
        <w:t>trauma</w:t>
      </w:r>
    </w:p>
    <w:p w:rsidR="007A01BD" w:rsidRPr="003F6306" w:rsidRDefault="00F82531" w:rsidP="00412857">
      <w:pPr>
        <w:pStyle w:val="Bullets"/>
      </w:pPr>
      <w:r w:rsidRPr="003F6306">
        <w:t>building cultural competency of organisations providing services to children.</w:t>
      </w:r>
    </w:p>
    <w:p w:rsidR="007A01BD" w:rsidRPr="003F6306" w:rsidRDefault="00F82531" w:rsidP="00412857">
      <w:r w:rsidRPr="003F6306">
        <w:lastRenderedPageBreak/>
        <w:t>The Victorian Government accepted all of the recommendations in full, in part or in principle. In response to the recommendations, the following initiatives have been started</w:t>
      </w:r>
      <w:r w:rsidR="00412857">
        <w:t xml:space="preserve"> </w:t>
      </w:r>
      <w:r w:rsidRPr="003F6306">
        <w:t>or completed.</w:t>
      </w:r>
    </w:p>
    <w:p w:rsidR="007A01BD" w:rsidRPr="003F6306" w:rsidRDefault="00F82531" w:rsidP="005E2801">
      <w:pPr>
        <w:pStyle w:val="Bullets"/>
      </w:pPr>
      <w:r w:rsidRPr="003F6306">
        <w:t xml:space="preserve">Case management of Aboriginal children and young people is being transferred from DHHS and CSOs to ACCOs, with a target to transfer 30 per cent of children by the end of </w:t>
      </w:r>
      <w:r w:rsidRPr="003F6306">
        <w:rPr>
          <w:spacing w:val="-6"/>
        </w:rPr>
        <w:t xml:space="preserve">2017 </w:t>
      </w:r>
      <w:r w:rsidRPr="003F6306">
        <w:t xml:space="preserve">and </w:t>
      </w:r>
      <w:r w:rsidRPr="003F6306">
        <w:rPr>
          <w:spacing w:val="-3"/>
        </w:rPr>
        <w:t xml:space="preserve">100 </w:t>
      </w:r>
      <w:r w:rsidRPr="003F6306">
        <w:t xml:space="preserve">per cent by </w:t>
      </w:r>
      <w:r w:rsidRPr="003F6306">
        <w:rPr>
          <w:spacing w:val="-4"/>
        </w:rPr>
        <w:t xml:space="preserve">2021. </w:t>
      </w:r>
      <w:r w:rsidRPr="003F6306">
        <w:t>This work is being overseen by a steering committee and supported by additional</w:t>
      </w:r>
      <w:r w:rsidRPr="003F6306">
        <w:rPr>
          <w:spacing w:val="15"/>
        </w:rPr>
        <w:t xml:space="preserve"> </w:t>
      </w:r>
      <w:r w:rsidRPr="003F6306">
        <w:t>funding.</w:t>
      </w:r>
    </w:p>
    <w:p w:rsidR="00412857" w:rsidRPr="00412857" w:rsidRDefault="00F82531" w:rsidP="005E2801">
      <w:pPr>
        <w:pStyle w:val="Bullets"/>
        <w:rPr>
          <w:rFonts w:ascii="HelveticaNeue-Medium" w:hAnsi="HelveticaNeue-Medium"/>
          <w:sz w:val="20"/>
        </w:rPr>
      </w:pPr>
      <w:r w:rsidRPr="003F6306">
        <w:t xml:space="preserve">DHHS has established the position of Principal Practitioner Aboriginal and </w:t>
      </w:r>
      <w:r w:rsidRPr="00412857">
        <w:rPr>
          <w:spacing w:val="-3"/>
        </w:rPr>
        <w:t xml:space="preserve">Torres </w:t>
      </w:r>
      <w:r w:rsidRPr="003F6306">
        <w:t>Strait Islander Children and Families, which will be supported by a senior cultural adviser.</w:t>
      </w:r>
    </w:p>
    <w:p w:rsidR="005E2801" w:rsidRPr="003F6306" w:rsidRDefault="005E2801" w:rsidP="005E2801">
      <w:pPr>
        <w:pStyle w:val="Bullets"/>
      </w:pPr>
      <w:r w:rsidRPr="003F6306">
        <w:t>The government has allocated $3.6 million over two years to expand ACSASS.</w:t>
      </w:r>
    </w:p>
    <w:p w:rsidR="005E2801" w:rsidRPr="003F6306" w:rsidRDefault="005E2801" w:rsidP="005E2801">
      <w:pPr>
        <w:pStyle w:val="Bullets"/>
      </w:pPr>
      <w:r w:rsidRPr="003F6306">
        <w:t>A new cultural planning model has been developed, which is monitored by the Cultural Planning Monitoring Group, and mandates that cultural plans must be prepared for all Aboriginal children and young people in out-of-home</w:t>
      </w:r>
      <w:r w:rsidRPr="003F6306">
        <w:rPr>
          <w:spacing w:val="7"/>
        </w:rPr>
        <w:t xml:space="preserve"> </w:t>
      </w:r>
      <w:r w:rsidRPr="003F6306">
        <w:t>care.</w:t>
      </w:r>
    </w:p>
    <w:p w:rsidR="005E2801" w:rsidRPr="003F6306" w:rsidRDefault="005E2801" w:rsidP="005E2801">
      <w:pPr>
        <w:pStyle w:val="Bullets"/>
      </w:pPr>
      <w:r w:rsidRPr="003F6306">
        <w:t>The government has allocated funding for the development of an Aboriginal healing, care and culture</w:t>
      </w:r>
      <w:r w:rsidRPr="003F6306">
        <w:rPr>
          <w:spacing w:val="17"/>
        </w:rPr>
        <w:t xml:space="preserve"> </w:t>
      </w:r>
      <w:r w:rsidRPr="003F6306">
        <w:t>service.</w:t>
      </w:r>
    </w:p>
    <w:p w:rsidR="005E2801" w:rsidRPr="003F6306" w:rsidRDefault="005E2801" w:rsidP="005E2801">
      <w:pPr>
        <w:pStyle w:val="Bullets"/>
        <w:rPr>
          <w:sz w:val="24"/>
        </w:rPr>
      </w:pPr>
      <w:r w:rsidRPr="003F6306">
        <w:t>A Return to Country Framework was launched on 1 March</w:t>
      </w:r>
      <w:r w:rsidRPr="003F6306">
        <w:rPr>
          <w:spacing w:val="11"/>
        </w:rPr>
        <w:t xml:space="preserve"> </w:t>
      </w:r>
      <w:r w:rsidRPr="003F6306">
        <w:rPr>
          <w:spacing w:val="-9"/>
        </w:rPr>
        <w:t>2017.</w:t>
      </w:r>
      <w:r w:rsidRPr="003F6306">
        <w:rPr>
          <w:sz w:val="24"/>
        </w:rPr>
        <w:t xml:space="preserve"> </w:t>
      </w:r>
    </w:p>
    <w:p w:rsidR="007A01BD" w:rsidRPr="005E2801" w:rsidRDefault="00F82531" w:rsidP="005E2801">
      <w:pPr>
        <w:pStyle w:val="Heading3"/>
      </w:pPr>
      <w:r w:rsidRPr="005E2801">
        <w:t>Ongoing monitoring of recommendations of In the child’s best interests and Always was, always will be Koori Children</w:t>
      </w:r>
    </w:p>
    <w:p w:rsidR="007A01BD" w:rsidRPr="003F6306" w:rsidRDefault="00F82531" w:rsidP="00412857">
      <w:r w:rsidRPr="003F6306">
        <w:t>With the assistance of the ACF, we will closely monitor the ongoing implementation of the recommendations from both inquiries through 2017–18.</w:t>
      </w:r>
    </w:p>
    <w:p w:rsidR="007A01BD" w:rsidRPr="003F6306" w:rsidRDefault="00F82531" w:rsidP="00412857">
      <w:r w:rsidRPr="003F6306">
        <w:t>The ACF is a representative group of ACCOs, the community sector and government. It was established to drive the safety and wellbeing of Aboriginal children and young people in,</w:t>
      </w:r>
      <w:r w:rsidR="002255D5">
        <w:t xml:space="preserve"> </w:t>
      </w:r>
      <w:r w:rsidRPr="003F6306">
        <w:t>or at risk of, entering the out-of-home care system. Within the forum, a partnership between community organisations, government and the Commission has responsibility for overseeing, evaluating and verifying the implementation of recommendations arising from the inquiries.</w:t>
      </w:r>
    </w:p>
    <w:p w:rsidR="007A01BD" w:rsidRPr="003F6306" w:rsidRDefault="00F82531" w:rsidP="00412857">
      <w:r w:rsidRPr="003F6306">
        <w:t>The forum has assessed that 68 recommendations from both reports are on track or in progress, 18 are complete and three are the subject of ongoing monitoring.</w:t>
      </w:r>
    </w:p>
    <w:p w:rsidR="007A01BD" w:rsidRPr="003F6306" w:rsidRDefault="00F82531" w:rsidP="005E2801">
      <w:pPr>
        <w:pStyle w:val="Heading3"/>
      </w:pPr>
      <w:r w:rsidRPr="003F6306">
        <w:t>Neither seen nor heard</w:t>
      </w:r>
    </w:p>
    <w:p w:rsidR="00412857" w:rsidRDefault="00F82531" w:rsidP="00412857">
      <w:r w:rsidRPr="003F6306">
        <w:t>Tabled in December 2016, this report examined a sample of child death inquiries involving children who had experienced family violence.</w:t>
      </w:r>
    </w:p>
    <w:p w:rsidR="007A01BD" w:rsidRPr="003F6306" w:rsidRDefault="00F82531" w:rsidP="00412857">
      <w:r w:rsidRPr="003F6306">
        <w:t>We found that Child Protection and other services:</w:t>
      </w:r>
    </w:p>
    <w:p w:rsidR="007A01BD" w:rsidRPr="003F6306" w:rsidRDefault="00F82531" w:rsidP="00412857">
      <w:pPr>
        <w:pStyle w:val="Bullets"/>
      </w:pPr>
      <w:r w:rsidRPr="003F6306">
        <w:t>underestimated the impact of family violence on children, resulting in no meaningful intervention to keep them</w:t>
      </w:r>
      <w:r w:rsidRPr="003F6306">
        <w:rPr>
          <w:spacing w:val="7"/>
        </w:rPr>
        <w:t xml:space="preserve"> </w:t>
      </w:r>
      <w:r w:rsidRPr="003F6306">
        <w:t>safe</w:t>
      </w:r>
    </w:p>
    <w:p w:rsidR="007A01BD" w:rsidRPr="003F6306" w:rsidRDefault="00F82531" w:rsidP="00412857">
      <w:pPr>
        <w:pStyle w:val="Bullets"/>
      </w:pPr>
      <w:r w:rsidRPr="003F6306">
        <w:t>rarely engaged directly with child victims to fully understand their experience, meaning children were not provided the support they needed to address their</w:t>
      </w:r>
      <w:r w:rsidRPr="003F6306">
        <w:rPr>
          <w:spacing w:val="18"/>
        </w:rPr>
        <w:t xml:space="preserve"> </w:t>
      </w:r>
      <w:r w:rsidRPr="003F6306">
        <w:t>trauma</w:t>
      </w:r>
    </w:p>
    <w:p w:rsidR="007A01BD" w:rsidRPr="003F6306" w:rsidRDefault="00F82531" w:rsidP="00412857">
      <w:pPr>
        <w:pStyle w:val="Bullets"/>
      </w:pPr>
      <w:r w:rsidRPr="003F6306">
        <w:t>relied too heavily on parents’ assurances that they could keep children safe while failing to offer support to mothers who were victims of</w:t>
      </w:r>
      <w:r w:rsidRPr="003F6306">
        <w:rPr>
          <w:spacing w:val="7"/>
        </w:rPr>
        <w:t xml:space="preserve"> </w:t>
      </w:r>
      <w:r w:rsidRPr="003F6306">
        <w:t>violence</w:t>
      </w:r>
    </w:p>
    <w:p w:rsidR="007A01BD" w:rsidRPr="003F6306" w:rsidRDefault="00F82531" w:rsidP="00412857">
      <w:pPr>
        <w:pStyle w:val="Bullets"/>
      </w:pPr>
      <w:r w:rsidRPr="003F6306">
        <w:t>did not fully investigate or provide adequate support to children following disclosures or suspicions of sexual</w:t>
      </w:r>
      <w:r w:rsidRPr="003F6306">
        <w:rPr>
          <w:spacing w:val="10"/>
        </w:rPr>
        <w:t xml:space="preserve"> </w:t>
      </w:r>
      <w:r w:rsidRPr="003F6306">
        <w:t>abuse.</w:t>
      </w:r>
    </w:p>
    <w:p w:rsidR="007A01BD" w:rsidRPr="003F6306" w:rsidRDefault="00F82531" w:rsidP="00412857">
      <w:r w:rsidRPr="003F6306">
        <w:t>Through the report, we called on the government to ensure the current family violence reforms deliver genuine change</w:t>
      </w:r>
      <w:r w:rsidR="00412857">
        <w:t xml:space="preserve"> </w:t>
      </w:r>
      <w:r w:rsidRPr="003F6306">
        <w:t>for child victims of family violence. We made 13 recommendations calling on the Victorian Government to:</w:t>
      </w:r>
    </w:p>
    <w:p w:rsidR="007A01BD" w:rsidRPr="003F6306" w:rsidRDefault="00F82531" w:rsidP="00E93D39">
      <w:pPr>
        <w:pStyle w:val="Bullets"/>
      </w:pPr>
      <w:r w:rsidRPr="003F6306">
        <w:t>address the findings of the inquiry when implementing the recommendations of the Royal Commission into Family</w:t>
      </w:r>
      <w:r w:rsidRPr="003F6306">
        <w:rPr>
          <w:spacing w:val="7"/>
        </w:rPr>
        <w:t xml:space="preserve"> </w:t>
      </w:r>
      <w:r w:rsidRPr="003F6306">
        <w:t>Violence</w:t>
      </w:r>
    </w:p>
    <w:p w:rsidR="007A01BD" w:rsidRPr="00412857" w:rsidRDefault="00F82531" w:rsidP="002255D5">
      <w:pPr>
        <w:pStyle w:val="Bullets"/>
        <w:rPr>
          <w:sz w:val="16"/>
        </w:rPr>
      </w:pPr>
      <w:r w:rsidRPr="003F6306">
        <w:t xml:space="preserve">consult </w:t>
      </w:r>
      <w:r w:rsidRPr="005E2801">
        <w:t>with</w:t>
      </w:r>
      <w:r w:rsidRPr="003F6306">
        <w:t xml:space="preserve"> Aboriginal services to ensure that where a report is made to Child Protection before an </w:t>
      </w:r>
      <w:r w:rsidRPr="002255D5">
        <w:t>Aboriginal</w:t>
      </w:r>
      <w:r w:rsidRPr="003F6306">
        <w:t xml:space="preserve"> child is born, families are engaged in a culturally- appropriate way and receive early intervention and</w:t>
      </w:r>
      <w:r w:rsidRPr="00412857">
        <w:rPr>
          <w:spacing w:val="20"/>
        </w:rPr>
        <w:t xml:space="preserve"> </w:t>
      </w:r>
      <w:r w:rsidRPr="003F6306">
        <w:t>support</w:t>
      </w:r>
    </w:p>
    <w:p w:rsidR="007A01BD" w:rsidRPr="003F6306" w:rsidRDefault="00F82531" w:rsidP="00E93D39">
      <w:pPr>
        <w:pStyle w:val="Bullets"/>
      </w:pPr>
      <w:r w:rsidRPr="003F6306">
        <w:lastRenderedPageBreak/>
        <w:t>implement a suite of measures to ensure that child sexual abuse affecting children who experience family violence is properly understood, identified and responded</w:t>
      </w:r>
      <w:r w:rsidRPr="003F6306">
        <w:rPr>
          <w:spacing w:val="25"/>
        </w:rPr>
        <w:t xml:space="preserve"> </w:t>
      </w:r>
      <w:r w:rsidRPr="003F6306">
        <w:t>to</w:t>
      </w:r>
    </w:p>
    <w:p w:rsidR="007A01BD" w:rsidRPr="003F6306" w:rsidRDefault="00F82531" w:rsidP="00E93D39">
      <w:pPr>
        <w:pStyle w:val="Bullets"/>
      </w:pPr>
      <w:r w:rsidRPr="00412857">
        <w:t>establish</w:t>
      </w:r>
      <w:r w:rsidRPr="003F6306">
        <w:t xml:space="preserve"> a process to identify and improve the response to cases where multiple reports have been made to</w:t>
      </w:r>
      <w:r w:rsidRPr="00412857">
        <w:rPr>
          <w:spacing w:val="15"/>
        </w:rPr>
        <w:t xml:space="preserve"> </w:t>
      </w:r>
      <w:r w:rsidRPr="003F6306">
        <w:t>Child</w:t>
      </w:r>
      <w:r w:rsidR="00412857">
        <w:t xml:space="preserve"> </w:t>
      </w:r>
      <w:r w:rsidRPr="003F6306">
        <w:t>Protection, where family violence is a factor, and the child is in the care of parents or extended family.</w:t>
      </w:r>
    </w:p>
    <w:p w:rsidR="00412857" w:rsidRDefault="00F82531" w:rsidP="00412857">
      <w:r w:rsidRPr="003F6306">
        <w:t>Of the 13 recommendations, 10 were accepted in full and three in principle. Action on the recommendations was still in progress at 30 June 2017 and we continue to seek further detail</w:t>
      </w:r>
    </w:p>
    <w:p w:rsidR="007A01BD" w:rsidRPr="00412857" w:rsidRDefault="00F82531" w:rsidP="00412857">
      <w:r w:rsidRPr="00412857">
        <w:t>As well as monitoring progress of these actions, we will also monitor other recommendations that were included in the government’s response</w:t>
      </w:r>
      <w:r w:rsidR="00412857" w:rsidRPr="00412857">
        <w:t xml:space="preserve"> </w:t>
      </w:r>
      <w:r w:rsidRPr="00412857">
        <w:t>to the Royal Commission into Family Violence and our inquiry, Always was, always will be Koori children.</w:t>
      </w:r>
    </w:p>
    <w:p w:rsidR="00412857" w:rsidRPr="003F6306" w:rsidRDefault="00412857" w:rsidP="00412857">
      <w:r w:rsidRPr="003F6306">
        <w:t>However, DHHS has committed to:</w:t>
      </w:r>
    </w:p>
    <w:p w:rsidR="00412857" w:rsidRPr="003F6306" w:rsidRDefault="00412857" w:rsidP="00412857">
      <w:pPr>
        <w:pStyle w:val="Bullets"/>
      </w:pPr>
      <w:r w:rsidRPr="003F6306">
        <w:t>establishing a working party with police, sexual assault services and relevant areas within the department to improve responses and intervention to disclosures of sexual abuse by children affected by family</w:t>
      </w:r>
      <w:r w:rsidRPr="003F6306">
        <w:rPr>
          <w:spacing w:val="10"/>
        </w:rPr>
        <w:t xml:space="preserve"> </w:t>
      </w:r>
      <w:r w:rsidRPr="003F6306">
        <w:t>violence</w:t>
      </w:r>
    </w:p>
    <w:p w:rsidR="00412857" w:rsidRPr="003F6306" w:rsidRDefault="00412857" w:rsidP="00412857">
      <w:pPr>
        <w:pStyle w:val="Bullets"/>
      </w:pPr>
      <w:r w:rsidRPr="003F6306">
        <w:t>reviewing a sample of Child Protection cases that have been closed at intake four times or more to identify ways to improve the Child Protection response to children affected by family</w:t>
      </w:r>
      <w:r w:rsidRPr="003F6306">
        <w:rPr>
          <w:spacing w:val="8"/>
        </w:rPr>
        <w:t xml:space="preserve"> </w:t>
      </w:r>
      <w:r w:rsidRPr="003F6306">
        <w:t>violence</w:t>
      </w:r>
    </w:p>
    <w:p w:rsidR="00412857" w:rsidRPr="003F6306" w:rsidRDefault="00412857" w:rsidP="00412857">
      <w:pPr>
        <w:pStyle w:val="Bullets"/>
      </w:pPr>
      <w:r w:rsidRPr="003F6306">
        <w:t>improving the treatment for young people who commit family</w:t>
      </w:r>
      <w:r w:rsidRPr="003F6306">
        <w:rPr>
          <w:spacing w:val="13"/>
        </w:rPr>
        <w:t xml:space="preserve"> </w:t>
      </w:r>
      <w:r w:rsidRPr="003F6306">
        <w:t>violence</w:t>
      </w:r>
    </w:p>
    <w:p w:rsidR="00412857" w:rsidRPr="003F6306" w:rsidRDefault="00412857" w:rsidP="00412857">
      <w:pPr>
        <w:pStyle w:val="Bullets"/>
      </w:pPr>
      <w:r w:rsidRPr="003F6306">
        <w:t>reviewing, in consultation with Aboriginal services, the process of reporting family violence concerns before a child is born,  to strengthen early intervention</w:t>
      </w:r>
      <w:r w:rsidRPr="003F6306">
        <w:rPr>
          <w:spacing w:val="26"/>
        </w:rPr>
        <w:t xml:space="preserve"> </w:t>
      </w:r>
      <w:r w:rsidRPr="003F6306">
        <w:t>responses.</w:t>
      </w:r>
    </w:p>
    <w:p w:rsidR="007A01BD" w:rsidRPr="003F6306" w:rsidRDefault="00F82531" w:rsidP="00412857">
      <w:pPr>
        <w:pStyle w:val="Heading3"/>
      </w:pPr>
      <w:r w:rsidRPr="003F6306">
        <w:t>The same four walls</w:t>
      </w:r>
    </w:p>
    <w:p w:rsidR="007A01BD" w:rsidRPr="003F6306" w:rsidRDefault="00F82531" w:rsidP="00412857">
      <w:r w:rsidRPr="003F6306">
        <w:t>We initiated an inquiry into the use of isolation, separation and lockdowns in the Victorian youth justice system because of concerns that excessive use of these practices has serious and long-term effects on children and young people’s mental health and rehabilitation.</w:t>
      </w:r>
    </w:p>
    <w:p w:rsidR="007A01BD" w:rsidRPr="003F6306" w:rsidRDefault="00F82531" w:rsidP="00F20AFE">
      <w:r w:rsidRPr="003F6306">
        <w:t>Our inquiry found limited staff training, the absence of a clear or effective approach to behaviour management and poor compliance with legislation and policy were leading to widespread use of restrictive practices that resulted in confinement and isolation.</w:t>
      </w:r>
    </w:p>
    <w:p w:rsidR="007A01BD" w:rsidRPr="003F6306" w:rsidRDefault="00F82531" w:rsidP="00F20AFE">
      <w:r w:rsidRPr="003F6306">
        <w:t>Longstanding issues of understaffing meant that, on average, at least one unit (up to 15 children and young people) was subjected to a lockdown each day during the 18-month period we reviewed.</w:t>
      </w:r>
    </w:p>
    <w:p w:rsidR="007A01BD" w:rsidRPr="003F6306" w:rsidRDefault="00F82531" w:rsidP="00F20AFE">
      <w:r w:rsidRPr="003F6306">
        <w:t>These practices resulted in children and young people being enclosed with limited access to fresh air, human interaction,education, psychological support and, in some circumstances, basic sanitation. They formed part of the context to the incidents of unrest seen in Victoria’s youth justice centres in 2016 and early 2017.</w:t>
      </w:r>
    </w:p>
    <w:p w:rsidR="007A01BD" w:rsidRPr="003F6306" w:rsidRDefault="00F82531" w:rsidP="00F20AFE">
      <w:r w:rsidRPr="003F6306">
        <w:t>We made 21 recommendations to change polices, practices and infrastructure, strengthen legislation to safeguard rights, and improve the treatment of children in detention.</w:t>
      </w:r>
    </w:p>
    <w:p w:rsidR="007A01BD" w:rsidRPr="003F6306" w:rsidRDefault="00F82531" w:rsidP="00F20AFE">
      <w:r w:rsidRPr="003F6306">
        <w:t>Of the 21 recommendations, 13 were fully accepted and eight were accepted in principle.</w:t>
      </w:r>
    </w:p>
    <w:p w:rsidR="007A01BD" w:rsidRPr="003F6306" w:rsidRDefault="00F82531" w:rsidP="00F20AFE">
      <w:r w:rsidRPr="003F6306">
        <w:t>In April 2017, shortly after the tabling of our report, responsibility for youth justice transferred from DHHS to the DJR.</w:t>
      </w:r>
    </w:p>
    <w:p w:rsidR="00E93D39" w:rsidRDefault="00E93D39">
      <w:pPr>
        <w:spacing w:before="0"/>
      </w:pPr>
      <w:r>
        <w:br w:type="page"/>
      </w:r>
    </w:p>
    <w:p w:rsidR="007A01BD" w:rsidRPr="003F6306" w:rsidRDefault="00F82531" w:rsidP="00F20AFE">
      <w:r w:rsidRPr="003F6306">
        <w:lastRenderedPageBreak/>
        <w:t>As at 30 June, as a result of the inquiry, DJR had developed an action plan and showed early signs of progress in the following</w:t>
      </w:r>
      <w:r w:rsidRPr="003F6306">
        <w:rPr>
          <w:spacing w:val="12"/>
        </w:rPr>
        <w:t xml:space="preserve"> </w:t>
      </w:r>
      <w:r w:rsidRPr="003F6306">
        <w:t>areas:</w:t>
      </w:r>
    </w:p>
    <w:p w:rsidR="007A01BD" w:rsidRPr="003F6306" w:rsidRDefault="00F82531" w:rsidP="00F20AFE">
      <w:pPr>
        <w:pStyle w:val="Bullets"/>
      </w:pPr>
      <w:r w:rsidRPr="003F6306">
        <w:t>improved transparency and record keeping for isolations, with changes to how isolations are recorded, and records checked by management</w:t>
      </w:r>
      <w:r w:rsidRPr="003F6306">
        <w:rPr>
          <w:spacing w:val="12"/>
        </w:rPr>
        <w:t xml:space="preserve"> </w:t>
      </w:r>
      <w:r w:rsidRPr="003F6306">
        <w:t>daily</w:t>
      </w:r>
    </w:p>
    <w:p w:rsidR="007A01BD" w:rsidRPr="003F6306" w:rsidRDefault="00F82531" w:rsidP="00F20AFE">
      <w:pPr>
        <w:pStyle w:val="Bullets"/>
      </w:pPr>
      <w:r w:rsidRPr="003F6306">
        <w:t>redeveloped training for new and existing staff to ensure isolation is only used when necessary and not as punishment – all staff had received training by August</w:t>
      </w:r>
      <w:r w:rsidRPr="003F6306">
        <w:rPr>
          <w:spacing w:val="10"/>
        </w:rPr>
        <w:t xml:space="preserve"> </w:t>
      </w:r>
      <w:r w:rsidRPr="003F6306">
        <w:rPr>
          <w:spacing w:val="-6"/>
        </w:rPr>
        <w:t>2017</w:t>
      </w:r>
    </w:p>
    <w:p w:rsidR="007A01BD" w:rsidRPr="003F6306" w:rsidRDefault="00F82531" w:rsidP="00F20AFE">
      <w:pPr>
        <w:pStyle w:val="Bullets"/>
      </w:pPr>
      <w:r w:rsidRPr="003F6306">
        <w:t xml:space="preserve">a review of isolation practices for Aboriginal children and young people will begin in </w:t>
      </w:r>
      <w:r w:rsidRPr="003F6306">
        <w:rPr>
          <w:spacing w:val="-7"/>
        </w:rPr>
        <w:t xml:space="preserve">2017–18, </w:t>
      </w:r>
      <w:r w:rsidRPr="003F6306">
        <w:t xml:space="preserve">in consultation with Aboriginal community agencies and the Commissioner for Aboriginal Children and </w:t>
      </w:r>
      <w:r w:rsidRPr="003F6306">
        <w:rPr>
          <w:spacing w:val="-4"/>
        </w:rPr>
        <w:t>Young</w:t>
      </w:r>
      <w:r w:rsidRPr="003F6306">
        <w:rPr>
          <w:spacing w:val="25"/>
        </w:rPr>
        <w:t xml:space="preserve"> </w:t>
      </w:r>
      <w:r w:rsidRPr="003F6306">
        <w:t>People</w:t>
      </w:r>
    </w:p>
    <w:p w:rsidR="007A01BD" w:rsidRPr="003F6306" w:rsidRDefault="00F82531" w:rsidP="00F20AFE">
      <w:pPr>
        <w:pStyle w:val="Bullets"/>
      </w:pPr>
      <w:r w:rsidRPr="003F6306">
        <w:t>works to upgrade sanitation in isolation rooms are being</w:t>
      </w:r>
      <w:r w:rsidRPr="003F6306">
        <w:rPr>
          <w:spacing w:val="15"/>
        </w:rPr>
        <w:t xml:space="preserve"> </w:t>
      </w:r>
      <w:r w:rsidRPr="003F6306">
        <w:t>scoped</w:t>
      </w:r>
    </w:p>
    <w:p w:rsidR="007A01BD" w:rsidRPr="003F6306" w:rsidRDefault="00F82531" w:rsidP="00F20AFE">
      <w:pPr>
        <w:pStyle w:val="Bullets"/>
      </w:pPr>
      <w:r w:rsidRPr="003F6306">
        <w:t>separation plans will be replaced by Secure Care Plans, which outline how to manage behaviour and support children and young people through their time in</w:t>
      </w:r>
      <w:r w:rsidRPr="003F6306">
        <w:rPr>
          <w:spacing w:val="15"/>
        </w:rPr>
        <w:t xml:space="preserve"> </w:t>
      </w:r>
      <w:r w:rsidRPr="003F6306">
        <w:t>custody</w:t>
      </w:r>
    </w:p>
    <w:p w:rsidR="00F20AFE" w:rsidRDefault="00F82531" w:rsidP="00F20AFE">
      <w:pPr>
        <w:pStyle w:val="Bullets"/>
      </w:pPr>
      <w:r w:rsidRPr="003F6306">
        <w:t>targeted recruitment is underway to  address staffing problems that were leading to excessive lockdowns, and the use of lockdowns has</w:t>
      </w:r>
      <w:r w:rsidRPr="003F6306">
        <w:rPr>
          <w:spacing w:val="5"/>
        </w:rPr>
        <w:t xml:space="preserve"> </w:t>
      </w:r>
      <w:r w:rsidRPr="003F6306">
        <w:t>reduced.</w:t>
      </w:r>
    </w:p>
    <w:p w:rsidR="007A01BD" w:rsidRPr="003F6306" w:rsidRDefault="00F20AFE" w:rsidP="00E93D39">
      <w:pPr>
        <w:pStyle w:val="Heading3"/>
      </w:pPr>
      <w:r w:rsidRPr="003F6306">
        <w:t xml:space="preserve"> </w:t>
      </w:r>
      <w:r w:rsidR="00F82531" w:rsidRPr="003F6306">
        <w:t xml:space="preserve">Safe and </w:t>
      </w:r>
      <w:r w:rsidR="00F82531" w:rsidRPr="00E93D39">
        <w:t>wanted</w:t>
      </w:r>
    </w:p>
    <w:p w:rsidR="007A01BD" w:rsidRPr="003F6306" w:rsidRDefault="00F82531" w:rsidP="00F20AFE">
      <w:r w:rsidRPr="003F6306">
        <w:t xml:space="preserve">The Minister for Families and Children recommended that we conduct an inquiry to examine the first six months of the implementation of the </w:t>
      </w:r>
      <w:r w:rsidRPr="003F6306">
        <w:rPr>
          <w:i/>
        </w:rPr>
        <w:t>Children, Youth and Families Amendment (Permanent Care and Other Matters) Act 2014</w:t>
      </w:r>
      <w:r w:rsidRPr="003F6306">
        <w:t>.</w:t>
      </w:r>
    </w:p>
    <w:p w:rsidR="007A01BD" w:rsidRPr="003F6306" w:rsidRDefault="00F82531" w:rsidP="00F20AFE">
      <w:r w:rsidRPr="003F6306">
        <w:t>These amendments were a response to pressing concerns that it was taking too long to find a permanent placement for vulnerable children</w:t>
      </w:r>
    </w:p>
    <w:p w:rsidR="007A01BD" w:rsidRPr="003F6306" w:rsidRDefault="00F82531" w:rsidP="00F20AFE">
      <w:r w:rsidRPr="003F6306">
        <w:t>in the child protection system. The changes sought to ensure that decisions about the care of children are made in a timely way, and to promote permanency of care arrangements.</w:t>
      </w:r>
    </w:p>
    <w:p w:rsidR="007A01BD" w:rsidRPr="003F6306" w:rsidRDefault="00F82531" w:rsidP="00F20AFE">
      <w:r w:rsidRPr="003F6306">
        <w:t>This inquiry examined the first six months of operation of the permanency amendments to see if the stated objectives were being realised and to identify any unintended consequences. To achieve this we:</w:t>
      </w:r>
    </w:p>
    <w:p w:rsidR="007A01BD" w:rsidRPr="003F6306" w:rsidRDefault="00F82531" w:rsidP="00F20AFE">
      <w:pPr>
        <w:pStyle w:val="Bullets"/>
      </w:pPr>
      <w:r w:rsidRPr="003F6306">
        <w:t>analysed extensive sets of DHHS and Children’s Court quantitative</w:t>
      </w:r>
      <w:r w:rsidRPr="003F6306">
        <w:rPr>
          <w:spacing w:val="3"/>
        </w:rPr>
        <w:t xml:space="preserve"> </w:t>
      </w:r>
      <w:r w:rsidRPr="003F6306">
        <w:t>data</w:t>
      </w:r>
    </w:p>
    <w:p w:rsidR="007A01BD" w:rsidRPr="003F6306" w:rsidRDefault="00F82531" w:rsidP="00F20AFE">
      <w:pPr>
        <w:pStyle w:val="Bullets"/>
      </w:pPr>
      <w:r w:rsidRPr="003F6306">
        <w:t>reviewed case</w:t>
      </w:r>
      <w:r w:rsidRPr="003F6306">
        <w:rPr>
          <w:spacing w:val="3"/>
        </w:rPr>
        <w:t xml:space="preserve"> </w:t>
      </w:r>
      <w:r w:rsidRPr="003F6306">
        <w:t>files</w:t>
      </w:r>
      <w:r w:rsidR="00F20AFE">
        <w:tab/>
      </w:r>
    </w:p>
    <w:p w:rsidR="007A01BD" w:rsidRPr="003F6306" w:rsidRDefault="00F82531" w:rsidP="00F20AFE">
      <w:pPr>
        <w:pStyle w:val="Bullets"/>
      </w:pPr>
      <w:r w:rsidRPr="003F6306">
        <w:t>held wide-ranging stakeholder</w:t>
      </w:r>
      <w:r w:rsidRPr="003F6306">
        <w:rPr>
          <w:spacing w:val="16"/>
        </w:rPr>
        <w:t xml:space="preserve"> </w:t>
      </w:r>
      <w:r w:rsidRPr="003F6306">
        <w:t>consultations</w:t>
      </w:r>
    </w:p>
    <w:p w:rsidR="007A01BD" w:rsidRPr="003F6306" w:rsidRDefault="00F82531" w:rsidP="00F20AFE">
      <w:pPr>
        <w:pStyle w:val="Bullets"/>
      </w:pPr>
      <w:r w:rsidRPr="003F6306">
        <w:t>received public submissions and case</w:t>
      </w:r>
      <w:r w:rsidRPr="003F6306">
        <w:rPr>
          <w:spacing w:val="6"/>
        </w:rPr>
        <w:t xml:space="preserve"> </w:t>
      </w:r>
      <w:r w:rsidRPr="003F6306">
        <w:t>studies</w:t>
      </w:r>
    </w:p>
    <w:p w:rsidR="007A01BD" w:rsidRPr="003F6306" w:rsidRDefault="00F82531" w:rsidP="00F20AFE">
      <w:pPr>
        <w:pStyle w:val="Bullets"/>
      </w:pPr>
      <w:r w:rsidRPr="003F6306">
        <w:t>spoke directly to children and young people about what matters to them in long-term care</w:t>
      </w:r>
      <w:r w:rsidRPr="003F6306">
        <w:rPr>
          <w:spacing w:val="17"/>
        </w:rPr>
        <w:t xml:space="preserve"> </w:t>
      </w:r>
      <w:r w:rsidRPr="003F6306">
        <w:t>arrangements.</w:t>
      </w:r>
    </w:p>
    <w:p w:rsidR="007A01BD" w:rsidRPr="003F6306" w:rsidRDefault="00F82531" w:rsidP="00F20AFE">
      <w:r w:rsidRPr="003F6306">
        <w:rPr>
          <w:spacing w:val="-3"/>
        </w:rPr>
        <w:t xml:space="preserve">We </w:t>
      </w:r>
      <w:r w:rsidRPr="003F6306">
        <w:t xml:space="preserve">provided </w:t>
      </w:r>
      <w:r w:rsidRPr="003F6306">
        <w:rPr>
          <w:i/>
        </w:rPr>
        <w:t>Safe and wanted</w:t>
      </w:r>
      <w:r w:rsidRPr="003F6306">
        <w:t xml:space="preserve">, with 40 recommendations for consideration, to the Minister for Families Children, and the Secretary of DHHS in June </w:t>
      </w:r>
      <w:r w:rsidRPr="003F6306">
        <w:rPr>
          <w:spacing w:val="-9"/>
        </w:rPr>
        <w:t xml:space="preserve">2017. </w:t>
      </w:r>
      <w:r w:rsidRPr="003F6306">
        <w:t>The decision to release all or part the report rests with the</w:t>
      </w:r>
      <w:r w:rsidRPr="003F6306">
        <w:rPr>
          <w:spacing w:val="17"/>
        </w:rPr>
        <w:t xml:space="preserve"> </w:t>
      </w:r>
      <w:r w:rsidRPr="003F6306">
        <w:t>Minister.</w:t>
      </w:r>
    </w:p>
    <w:p w:rsidR="007A01BD" w:rsidRPr="003F6306" w:rsidRDefault="00F82531" w:rsidP="00F20AFE">
      <w:pPr>
        <w:pStyle w:val="Heading2"/>
      </w:pPr>
      <w:bookmarkStart w:id="29" w:name="_TOC_250020"/>
      <w:bookmarkStart w:id="30" w:name="_Toc496019823"/>
      <w:bookmarkEnd w:id="29"/>
      <w:r w:rsidRPr="003F6306">
        <w:t>Recommendations</w:t>
      </w:r>
      <w:bookmarkEnd w:id="30"/>
    </w:p>
    <w:p w:rsidR="00E93D39" w:rsidRDefault="00F82531" w:rsidP="00E93D39">
      <w:r w:rsidRPr="003F6306">
        <w:t xml:space="preserve">The four systemic inquiries we tabled  in Parliament in </w:t>
      </w:r>
      <w:r w:rsidRPr="003F6306">
        <w:rPr>
          <w:spacing w:val="-5"/>
        </w:rPr>
        <w:t xml:space="preserve">2016–17 </w:t>
      </w:r>
      <w:r w:rsidRPr="003F6306">
        <w:t xml:space="preserve">resulted in </w:t>
      </w:r>
      <w:r w:rsidRPr="003F6306">
        <w:rPr>
          <w:spacing w:val="-5"/>
        </w:rPr>
        <w:t xml:space="preserve">167 </w:t>
      </w:r>
      <w:r w:rsidR="00E93D39">
        <w:rPr>
          <w:spacing w:val="-5"/>
        </w:rPr>
        <w:t>r</w:t>
      </w:r>
      <w:r w:rsidRPr="003F6306">
        <w:t xml:space="preserve">ecommendations (Table </w:t>
      </w:r>
      <w:r w:rsidRPr="003F6306">
        <w:rPr>
          <w:spacing w:val="-5"/>
        </w:rPr>
        <w:t xml:space="preserve">1). </w:t>
      </w:r>
      <w:r w:rsidRPr="003F6306">
        <w:rPr>
          <w:spacing w:val="-3"/>
        </w:rPr>
        <w:t>We</w:t>
      </w:r>
      <w:r w:rsidRPr="003F6306">
        <w:rPr>
          <w:spacing w:val="18"/>
        </w:rPr>
        <w:t xml:space="preserve"> </w:t>
      </w:r>
      <w:r w:rsidRPr="003F6306">
        <w:t>also</w:t>
      </w:r>
      <w:r w:rsidR="00E93D39">
        <w:t xml:space="preserve"> </w:t>
      </w:r>
      <w:r w:rsidRPr="003F6306">
        <w:t xml:space="preserve">continued to monitor the implementation of </w:t>
      </w:r>
      <w:r w:rsidR="00E93D39">
        <w:t>r</w:t>
      </w:r>
      <w:r w:rsidRPr="003F6306">
        <w:t>ecommendations arising from last</w:t>
      </w:r>
      <w:r w:rsidR="00E93D39">
        <w:t xml:space="preserve"> </w:t>
      </w:r>
      <w:r w:rsidRPr="00E93D39">
        <w:t>year’s inquiry, … as a good parent would …</w:t>
      </w:r>
      <w:r w:rsidRPr="003F6306">
        <w:t xml:space="preserve"> </w:t>
      </w:r>
      <w:bookmarkStart w:id="31" w:name="_Toc493239852"/>
    </w:p>
    <w:p w:rsidR="00E93D39" w:rsidRDefault="00E93D39">
      <w:pPr>
        <w:spacing w:before="0"/>
      </w:pPr>
      <w:r>
        <w:br w:type="page"/>
      </w:r>
    </w:p>
    <w:p w:rsidR="00E93D39" w:rsidRDefault="00E93D39" w:rsidP="00E93D39">
      <w:pPr>
        <w:pStyle w:val="Caption"/>
      </w:pPr>
      <w:bookmarkStart w:id="32" w:name="_Toc496019879"/>
      <w:bookmarkEnd w:id="31"/>
      <w:r>
        <w:lastRenderedPageBreak/>
        <w:t xml:space="preserve">Table </w:t>
      </w:r>
      <w:r>
        <w:fldChar w:fldCharType="begin"/>
      </w:r>
      <w:r>
        <w:instrText xml:space="preserve"> SEQ Table \* ARABIC </w:instrText>
      </w:r>
      <w:r>
        <w:fldChar w:fldCharType="separate"/>
      </w:r>
      <w:r w:rsidR="00DF01C3">
        <w:rPr>
          <w:noProof/>
        </w:rPr>
        <w:t>1</w:t>
      </w:r>
      <w:r>
        <w:fldChar w:fldCharType="end"/>
      </w:r>
      <w:r w:rsidRPr="00966C96">
        <w:t xml:space="preserve"> Response to recommendations arising from public systemic inquiries in 2016-17</w:t>
      </w:r>
      <w:bookmarkEnd w:id="32"/>
    </w:p>
    <w:tbl>
      <w:tblPr>
        <w:tblW w:w="4966" w:type="pct"/>
        <w:tblLook w:val="04A0" w:firstRow="1" w:lastRow="0" w:firstColumn="1" w:lastColumn="0" w:noHBand="0" w:noVBand="1"/>
      </w:tblPr>
      <w:tblGrid>
        <w:gridCol w:w="1961"/>
        <w:gridCol w:w="1283"/>
        <w:gridCol w:w="1460"/>
        <w:gridCol w:w="1277"/>
        <w:gridCol w:w="1279"/>
        <w:gridCol w:w="1046"/>
        <w:gridCol w:w="921"/>
      </w:tblGrid>
      <w:tr w:rsidR="00E93D39" w:rsidRPr="00BC7A29" w:rsidTr="00D31FB8">
        <w:trPr>
          <w:trHeight w:val="889"/>
        </w:trPr>
        <w:tc>
          <w:tcPr>
            <w:tcW w:w="1063" w:type="pct"/>
            <w:tcBorders>
              <w:top w:val="single" w:sz="4" w:space="0" w:color="366092"/>
              <w:left w:val="nil"/>
              <w:bottom w:val="single" w:sz="4" w:space="0" w:color="DCE6F1"/>
              <w:right w:val="nil"/>
            </w:tcBorders>
            <w:shd w:val="clear" w:color="366092" w:fill="366092"/>
            <w:vAlign w:val="bottom"/>
            <w:hideMark/>
          </w:tcPr>
          <w:p w:rsidR="00E93D39" w:rsidRPr="008031F3" w:rsidRDefault="00E93D39" w:rsidP="00D31FB8">
            <w:pPr>
              <w:rPr>
                <w:rFonts w:ascii="Calibri" w:hAnsi="Calibri" w:cs="Times New Roman"/>
                <w:color w:val="FFFFFF"/>
                <w:sz w:val="20"/>
                <w:lang w:eastAsia="en-AU"/>
              </w:rPr>
            </w:pPr>
            <w:r w:rsidRPr="00635E76">
              <w:rPr>
                <w:rFonts w:ascii="Calibri" w:hAnsi="Calibri" w:cs="Times New Roman"/>
                <w:b/>
                <w:bCs/>
                <w:color w:val="FFFFFF"/>
                <w:sz w:val="20"/>
                <w:lang w:eastAsia="en-AU"/>
              </w:rPr>
              <w:t>Response</w:t>
            </w:r>
          </w:p>
        </w:tc>
        <w:tc>
          <w:tcPr>
            <w:tcW w:w="695" w:type="pct"/>
            <w:tcBorders>
              <w:top w:val="single" w:sz="4" w:space="0" w:color="366092"/>
              <w:left w:val="nil"/>
              <w:bottom w:val="single" w:sz="4" w:space="0" w:color="DCE6F1"/>
              <w:right w:val="nil"/>
            </w:tcBorders>
            <w:shd w:val="clear" w:color="366092" w:fill="366092"/>
            <w:vAlign w:val="bottom"/>
            <w:hideMark/>
          </w:tcPr>
          <w:p w:rsidR="00E93D39" w:rsidRPr="008031F3" w:rsidRDefault="00E93D39" w:rsidP="00D31FB8">
            <w:pPr>
              <w:jc w:val="center"/>
              <w:rPr>
                <w:rFonts w:ascii="Calibri" w:hAnsi="Calibri" w:cs="Times New Roman"/>
                <w:b/>
                <w:color w:val="FFFFFF"/>
                <w:sz w:val="20"/>
                <w:lang w:eastAsia="en-AU"/>
              </w:rPr>
            </w:pPr>
            <w:r w:rsidRPr="008031F3">
              <w:rPr>
                <w:rFonts w:ascii="Calibri" w:hAnsi="Calibri" w:cs="Times New Roman"/>
                <w:b/>
                <w:color w:val="FFFFFF"/>
                <w:sz w:val="20"/>
                <w:lang w:eastAsia="en-AU"/>
              </w:rPr>
              <w:t>In the child's best interests</w:t>
            </w:r>
          </w:p>
        </w:tc>
        <w:tc>
          <w:tcPr>
            <w:tcW w:w="791" w:type="pct"/>
            <w:tcBorders>
              <w:top w:val="single" w:sz="4" w:space="0" w:color="366092"/>
              <w:left w:val="nil"/>
              <w:bottom w:val="single" w:sz="4" w:space="0" w:color="DCE6F1"/>
              <w:right w:val="nil"/>
            </w:tcBorders>
            <w:shd w:val="clear" w:color="366092" w:fill="366092"/>
            <w:vAlign w:val="bottom"/>
            <w:hideMark/>
          </w:tcPr>
          <w:p w:rsidR="00E93D39" w:rsidRPr="008031F3" w:rsidRDefault="00E93D39" w:rsidP="00D31FB8">
            <w:pPr>
              <w:jc w:val="center"/>
              <w:rPr>
                <w:rFonts w:ascii="Calibri" w:hAnsi="Calibri" w:cs="Times New Roman"/>
                <w:b/>
                <w:color w:val="FFFFFF"/>
                <w:sz w:val="20"/>
                <w:lang w:eastAsia="en-AU"/>
              </w:rPr>
            </w:pPr>
            <w:r w:rsidRPr="008031F3">
              <w:rPr>
                <w:rFonts w:ascii="Calibri" w:hAnsi="Calibri" w:cs="Times New Roman"/>
                <w:b/>
                <w:color w:val="FFFFFF"/>
                <w:sz w:val="20"/>
                <w:lang w:eastAsia="en-AU"/>
              </w:rPr>
              <w:t>Always was, always will be Koori children</w:t>
            </w:r>
          </w:p>
        </w:tc>
        <w:tc>
          <w:tcPr>
            <w:tcW w:w="692" w:type="pct"/>
            <w:tcBorders>
              <w:top w:val="single" w:sz="4" w:space="0" w:color="366092"/>
              <w:left w:val="nil"/>
              <w:bottom w:val="single" w:sz="4" w:space="0" w:color="DCE6F1"/>
              <w:right w:val="nil"/>
            </w:tcBorders>
            <w:shd w:val="clear" w:color="366092" w:fill="366092"/>
            <w:vAlign w:val="bottom"/>
            <w:hideMark/>
          </w:tcPr>
          <w:p w:rsidR="00E93D39" w:rsidRPr="008031F3" w:rsidRDefault="00E93D39" w:rsidP="00D31FB8">
            <w:pPr>
              <w:jc w:val="center"/>
              <w:rPr>
                <w:rFonts w:ascii="Calibri" w:hAnsi="Calibri" w:cs="Times New Roman"/>
                <w:b/>
                <w:color w:val="FFFFFF"/>
                <w:sz w:val="20"/>
                <w:lang w:eastAsia="en-AU"/>
              </w:rPr>
            </w:pPr>
            <w:r w:rsidRPr="008031F3">
              <w:rPr>
                <w:rFonts w:ascii="Calibri" w:hAnsi="Calibri" w:cs="Times New Roman"/>
                <w:b/>
                <w:color w:val="FFFFFF"/>
                <w:sz w:val="20"/>
                <w:lang w:eastAsia="en-AU"/>
              </w:rPr>
              <w:t>Neither seen nor heard</w:t>
            </w:r>
          </w:p>
        </w:tc>
        <w:tc>
          <w:tcPr>
            <w:tcW w:w="693" w:type="pct"/>
            <w:tcBorders>
              <w:top w:val="single" w:sz="4" w:space="0" w:color="366092"/>
              <w:left w:val="nil"/>
              <w:bottom w:val="single" w:sz="4" w:space="0" w:color="DCE6F1"/>
              <w:right w:val="nil"/>
            </w:tcBorders>
            <w:shd w:val="clear" w:color="366092" w:fill="366092"/>
            <w:vAlign w:val="bottom"/>
            <w:hideMark/>
          </w:tcPr>
          <w:p w:rsidR="00E93D39" w:rsidRPr="008031F3" w:rsidRDefault="00E93D39" w:rsidP="00D31FB8">
            <w:pPr>
              <w:jc w:val="center"/>
              <w:rPr>
                <w:rFonts w:ascii="Calibri" w:hAnsi="Calibri" w:cs="Times New Roman"/>
                <w:b/>
                <w:color w:val="FFFFFF"/>
                <w:sz w:val="20"/>
                <w:lang w:eastAsia="en-AU"/>
              </w:rPr>
            </w:pPr>
            <w:r w:rsidRPr="008031F3">
              <w:rPr>
                <w:rFonts w:ascii="Calibri" w:hAnsi="Calibri" w:cs="Times New Roman"/>
                <w:b/>
                <w:color w:val="FFFFFF"/>
                <w:sz w:val="20"/>
                <w:lang w:eastAsia="en-AU"/>
              </w:rPr>
              <w:t>The same four walls</w:t>
            </w:r>
          </w:p>
        </w:tc>
        <w:tc>
          <w:tcPr>
            <w:tcW w:w="567" w:type="pct"/>
            <w:tcBorders>
              <w:top w:val="single" w:sz="4" w:space="0" w:color="366092"/>
              <w:left w:val="nil"/>
              <w:bottom w:val="single" w:sz="4" w:space="0" w:color="DCE6F1"/>
              <w:right w:val="nil"/>
            </w:tcBorders>
            <w:shd w:val="clear" w:color="366092" w:fill="366092"/>
            <w:vAlign w:val="bottom"/>
          </w:tcPr>
          <w:p w:rsidR="00E93D39" w:rsidRPr="008031F3" w:rsidRDefault="00E93D39" w:rsidP="00D31FB8">
            <w:pPr>
              <w:jc w:val="center"/>
              <w:rPr>
                <w:rFonts w:ascii="Calibri" w:hAnsi="Calibri" w:cs="Times New Roman"/>
                <w:b/>
                <w:color w:val="FFFFFF"/>
                <w:sz w:val="20"/>
                <w:lang w:eastAsia="en-AU"/>
              </w:rPr>
            </w:pPr>
          </w:p>
        </w:tc>
        <w:tc>
          <w:tcPr>
            <w:tcW w:w="499" w:type="pct"/>
            <w:tcBorders>
              <w:top w:val="single" w:sz="4" w:space="0" w:color="366092"/>
              <w:left w:val="nil"/>
              <w:bottom w:val="single" w:sz="4" w:space="0" w:color="DCE6F1"/>
              <w:right w:val="nil"/>
            </w:tcBorders>
            <w:shd w:val="clear" w:color="366092" w:fill="366092"/>
            <w:vAlign w:val="center"/>
            <w:hideMark/>
          </w:tcPr>
          <w:p w:rsidR="00E93D39" w:rsidRPr="00A97496" w:rsidRDefault="00E93D39" w:rsidP="00D31FB8">
            <w:pPr>
              <w:jc w:val="center"/>
              <w:rPr>
                <w:rFonts w:ascii="Calibri" w:hAnsi="Calibri" w:cs="Times New Roman"/>
                <w:color w:val="FFFFFF"/>
                <w:sz w:val="20"/>
                <w:lang w:eastAsia="en-AU"/>
              </w:rPr>
            </w:pPr>
            <w:r>
              <w:rPr>
                <w:rFonts w:ascii="Calibri" w:hAnsi="Calibri" w:cs="Times New Roman"/>
                <w:color w:val="FFFFFF"/>
                <w:sz w:val="20"/>
                <w:lang w:eastAsia="en-AU"/>
              </w:rPr>
              <w:t>Total</w:t>
            </w:r>
          </w:p>
        </w:tc>
      </w:tr>
      <w:tr w:rsidR="00E93D39" w:rsidRPr="00BC7A29" w:rsidTr="00D31FB8">
        <w:trPr>
          <w:trHeight w:val="345"/>
        </w:trPr>
        <w:tc>
          <w:tcPr>
            <w:tcW w:w="1063"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rPr>
                <w:rFonts w:ascii="Calibri" w:hAnsi="Calibri" w:cs="Times New Roman"/>
                <w:color w:val="000000"/>
                <w:sz w:val="20"/>
                <w:lang w:eastAsia="en-AU"/>
              </w:rPr>
            </w:pPr>
            <w:r w:rsidRPr="00635E76">
              <w:rPr>
                <w:rFonts w:ascii="Calibri" w:hAnsi="Calibri" w:cs="Times New Roman"/>
                <w:color w:val="000000"/>
                <w:sz w:val="20"/>
                <w:lang w:eastAsia="en-AU"/>
              </w:rPr>
              <w:t>Accepted</w:t>
            </w:r>
          </w:p>
        </w:tc>
        <w:tc>
          <w:tcPr>
            <w:tcW w:w="695"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3</w:t>
            </w:r>
            <w:r>
              <w:rPr>
                <w:rFonts w:ascii="Calibri" w:hAnsi="Calibri" w:cs="Times New Roman"/>
                <w:color w:val="000000"/>
                <w:sz w:val="20"/>
                <w:lang w:eastAsia="en-AU"/>
              </w:rPr>
              <w:t>5</w:t>
            </w:r>
          </w:p>
        </w:tc>
        <w:tc>
          <w:tcPr>
            <w:tcW w:w="791"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Pr>
                <w:rFonts w:ascii="Calibri" w:hAnsi="Calibri" w:cs="Times New Roman"/>
                <w:color w:val="000000"/>
                <w:sz w:val="20"/>
                <w:lang w:eastAsia="en-AU"/>
              </w:rPr>
              <w:t>31</w:t>
            </w:r>
          </w:p>
        </w:tc>
        <w:tc>
          <w:tcPr>
            <w:tcW w:w="692"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10</w:t>
            </w:r>
          </w:p>
        </w:tc>
        <w:tc>
          <w:tcPr>
            <w:tcW w:w="693"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13</w:t>
            </w:r>
          </w:p>
        </w:tc>
        <w:tc>
          <w:tcPr>
            <w:tcW w:w="567"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p>
        </w:tc>
        <w:tc>
          <w:tcPr>
            <w:tcW w:w="499"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9</w:t>
            </w:r>
            <w:r>
              <w:rPr>
                <w:rFonts w:ascii="Calibri" w:hAnsi="Calibri" w:cs="Times New Roman"/>
                <w:color w:val="000000"/>
                <w:sz w:val="20"/>
                <w:lang w:eastAsia="en-AU"/>
              </w:rPr>
              <w:t>5</w:t>
            </w:r>
          </w:p>
        </w:tc>
      </w:tr>
      <w:tr w:rsidR="00E93D39" w:rsidRPr="00BC7A29" w:rsidTr="00D31FB8">
        <w:trPr>
          <w:trHeight w:val="563"/>
        </w:trPr>
        <w:tc>
          <w:tcPr>
            <w:tcW w:w="1063" w:type="pct"/>
            <w:tcBorders>
              <w:top w:val="single" w:sz="4" w:space="0" w:color="DCE6F1"/>
              <w:left w:val="nil"/>
              <w:bottom w:val="single" w:sz="4" w:space="0" w:color="DCE6F1"/>
              <w:right w:val="nil"/>
            </w:tcBorders>
            <w:shd w:val="clear" w:color="auto" w:fill="auto"/>
            <w:vAlign w:val="center"/>
            <w:hideMark/>
          </w:tcPr>
          <w:p w:rsidR="00E93D39" w:rsidRPr="005115AD" w:rsidRDefault="00E93D39" w:rsidP="00D31FB8">
            <w:pPr>
              <w:rPr>
                <w:rFonts w:ascii="Calibri" w:hAnsi="Calibri" w:cs="Times New Roman"/>
                <w:color w:val="000000"/>
                <w:sz w:val="20"/>
                <w:lang w:eastAsia="en-AU"/>
              </w:rPr>
            </w:pPr>
            <w:r w:rsidRPr="00635E76">
              <w:rPr>
                <w:rFonts w:ascii="Calibri" w:hAnsi="Calibri" w:cs="Times New Roman"/>
                <w:color w:val="000000"/>
                <w:sz w:val="20"/>
                <w:lang w:eastAsia="en-AU"/>
              </w:rPr>
              <w:t>Accepted in principle</w:t>
            </w:r>
          </w:p>
        </w:tc>
        <w:tc>
          <w:tcPr>
            <w:tcW w:w="695" w:type="pct"/>
            <w:tcBorders>
              <w:top w:val="single" w:sz="4" w:space="0" w:color="DCE6F1"/>
              <w:left w:val="nil"/>
              <w:bottom w:val="single" w:sz="4" w:space="0" w:color="DCE6F1"/>
              <w:right w:val="nil"/>
            </w:tcBorders>
            <w:shd w:val="clear" w:color="auto" w:fill="auto"/>
            <w:vAlign w:val="center"/>
            <w:hideMark/>
          </w:tcPr>
          <w:p w:rsidR="00E93D39" w:rsidRPr="005115AD" w:rsidRDefault="00E93D39" w:rsidP="00D31FB8">
            <w:pPr>
              <w:jc w:val="center"/>
              <w:rPr>
                <w:rFonts w:ascii="Calibri" w:hAnsi="Calibri" w:cs="Times New Roman"/>
                <w:color w:val="000000"/>
                <w:sz w:val="20"/>
                <w:lang w:eastAsia="en-AU"/>
              </w:rPr>
            </w:pPr>
            <w:r w:rsidRPr="005115AD">
              <w:rPr>
                <w:rFonts w:ascii="Calibri" w:hAnsi="Calibri" w:cs="Times New Roman"/>
                <w:color w:val="000000"/>
                <w:sz w:val="20"/>
                <w:lang w:eastAsia="en-AU"/>
              </w:rPr>
              <w:t>17</w:t>
            </w:r>
          </w:p>
        </w:tc>
        <w:tc>
          <w:tcPr>
            <w:tcW w:w="791"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5115AD">
              <w:rPr>
                <w:rFonts w:ascii="Calibri" w:hAnsi="Calibri" w:cs="Times New Roman"/>
                <w:color w:val="000000"/>
                <w:sz w:val="20"/>
                <w:lang w:eastAsia="en-AU"/>
              </w:rPr>
              <w:t>38</w:t>
            </w:r>
          </w:p>
        </w:tc>
        <w:tc>
          <w:tcPr>
            <w:tcW w:w="692"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3</w:t>
            </w:r>
          </w:p>
        </w:tc>
        <w:tc>
          <w:tcPr>
            <w:tcW w:w="693"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8</w:t>
            </w:r>
          </w:p>
        </w:tc>
        <w:tc>
          <w:tcPr>
            <w:tcW w:w="567"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p>
        </w:tc>
        <w:tc>
          <w:tcPr>
            <w:tcW w:w="499"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69</w:t>
            </w:r>
          </w:p>
        </w:tc>
      </w:tr>
      <w:tr w:rsidR="00E93D39" w:rsidRPr="00BC7A29" w:rsidTr="00D31FB8">
        <w:trPr>
          <w:trHeight w:val="563"/>
        </w:trPr>
        <w:tc>
          <w:tcPr>
            <w:tcW w:w="1063"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rPr>
                <w:rFonts w:ascii="Calibri" w:hAnsi="Calibri" w:cs="Times New Roman"/>
                <w:color w:val="000000"/>
                <w:sz w:val="20"/>
                <w:lang w:eastAsia="en-AU"/>
              </w:rPr>
            </w:pPr>
            <w:r w:rsidRPr="00635E76">
              <w:rPr>
                <w:rFonts w:ascii="Calibri" w:hAnsi="Calibri" w:cs="Times New Roman"/>
                <w:color w:val="000000"/>
                <w:sz w:val="20"/>
                <w:lang w:eastAsia="en-AU"/>
              </w:rPr>
              <w:t>Accepted in part</w:t>
            </w:r>
          </w:p>
        </w:tc>
        <w:tc>
          <w:tcPr>
            <w:tcW w:w="695"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2</w:t>
            </w:r>
          </w:p>
        </w:tc>
        <w:tc>
          <w:tcPr>
            <w:tcW w:w="791"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10</w:t>
            </w:r>
          </w:p>
        </w:tc>
        <w:tc>
          <w:tcPr>
            <w:tcW w:w="692"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0</w:t>
            </w:r>
          </w:p>
        </w:tc>
        <w:tc>
          <w:tcPr>
            <w:tcW w:w="693"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0</w:t>
            </w:r>
          </w:p>
        </w:tc>
        <w:tc>
          <w:tcPr>
            <w:tcW w:w="567"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p>
        </w:tc>
        <w:tc>
          <w:tcPr>
            <w:tcW w:w="499" w:type="pct"/>
            <w:tcBorders>
              <w:top w:val="single" w:sz="4" w:space="0" w:color="DCE6F1"/>
              <w:left w:val="nil"/>
              <w:bottom w:val="single" w:sz="4" w:space="0" w:color="DCE6F1"/>
              <w:right w:val="nil"/>
            </w:tcBorders>
            <w:shd w:val="clear" w:color="auto" w:fill="auto"/>
            <w:vAlign w:val="center"/>
            <w:hideMark/>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12</w:t>
            </w:r>
          </w:p>
        </w:tc>
      </w:tr>
      <w:tr w:rsidR="00E93D39" w:rsidRPr="00BC7A29" w:rsidTr="00D31FB8">
        <w:trPr>
          <w:trHeight w:val="563"/>
        </w:trPr>
        <w:tc>
          <w:tcPr>
            <w:tcW w:w="1063"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rPr>
                <w:rFonts w:ascii="Calibri" w:hAnsi="Calibri" w:cs="Times New Roman"/>
                <w:color w:val="000000"/>
                <w:sz w:val="20"/>
                <w:lang w:eastAsia="en-AU"/>
              </w:rPr>
            </w:pPr>
            <w:r w:rsidRPr="00635E76">
              <w:rPr>
                <w:rFonts w:ascii="Calibri" w:hAnsi="Calibri" w:cs="Times New Roman"/>
                <w:color w:val="000000"/>
                <w:sz w:val="20"/>
                <w:lang w:eastAsia="en-AU"/>
              </w:rPr>
              <w:t>Not accepted</w:t>
            </w:r>
          </w:p>
        </w:tc>
        <w:tc>
          <w:tcPr>
            <w:tcW w:w="695"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0</w:t>
            </w:r>
          </w:p>
        </w:tc>
        <w:tc>
          <w:tcPr>
            <w:tcW w:w="791"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0</w:t>
            </w:r>
          </w:p>
        </w:tc>
        <w:tc>
          <w:tcPr>
            <w:tcW w:w="692"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0</w:t>
            </w:r>
          </w:p>
        </w:tc>
        <w:tc>
          <w:tcPr>
            <w:tcW w:w="693"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0</w:t>
            </w:r>
          </w:p>
        </w:tc>
        <w:tc>
          <w:tcPr>
            <w:tcW w:w="567"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p>
        </w:tc>
        <w:tc>
          <w:tcPr>
            <w:tcW w:w="499" w:type="pct"/>
            <w:tcBorders>
              <w:top w:val="single" w:sz="4" w:space="0" w:color="DCE6F1"/>
              <w:left w:val="nil"/>
              <w:bottom w:val="single" w:sz="4" w:space="0" w:color="DCE6F1"/>
              <w:right w:val="nil"/>
            </w:tcBorders>
            <w:shd w:val="clear" w:color="auto" w:fill="auto"/>
            <w:vAlign w:val="center"/>
          </w:tcPr>
          <w:p w:rsidR="00E93D39" w:rsidRPr="008031F3" w:rsidRDefault="00E93D39" w:rsidP="00D31FB8">
            <w:pPr>
              <w:jc w:val="center"/>
              <w:rPr>
                <w:rFonts w:ascii="Calibri" w:hAnsi="Calibri" w:cs="Times New Roman"/>
                <w:color w:val="000000"/>
                <w:sz w:val="20"/>
                <w:lang w:eastAsia="en-AU"/>
              </w:rPr>
            </w:pPr>
            <w:r w:rsidRPr="008031F3">
              <w:rPr>
                <w:rFonts w:ascii="Calibri" w:hAnsi="Calibri" w:cs="Times New Roman"/>
                <w:color w:val="000000"/>
                <w:sz w:val="20"/>
                <w:lang w:eastAsia="en-AU"/>
              </w:rPr>
              <w:t>0</w:t>
            </w:r>
          </w:p>
        </w:tc>
      </w:tr>
      <w:tr w:rsidR="00E93D39" w:rsidRPr="00BC7A29" w:rsidTr="00D31FB8">
        <w:trPr>
          <w:trHeight w:val="345"/>
        </w:trPr>
        <w:tc>
          <w:tcPr>
            <w:tcW w:w="1063" w:type="pct"/>
            <w:tcBorders>
              <w:top w:val="double" w:sz="6" w:space="0" w:color="366092"/>
              <w:left w:val="nil"/>
              <w:bottom w:val="nil"/>
              <w:right w:val="nil"/>
            </w:tcBorders>
            <w:shd w:val="clear" w:color="auto" w:fill="auto"/>
            <w:vAlign w:val="bottom"/>
            <w:hideMark/>
          </w:tcPr>
          <w:p w:rsidR="00E93D39" w:rsidRPr="008031F3" w:rsidRDefault="00E93D39" w:rsidP="00D31FB8">
            <w:pPr>
              <w:rPr>
                <w:rFonts w:ascii="Calibri" w:hAnsi="Calibri" w:cs="Times New Roman"/>
                <w:b/>
                <w:bCs/>
                <w:color w:val="000000"/>
                <w:sz w:val="20"/>
                <w:lang w:eastAsia="en-AU"/>
              </w:rPr>
            </w:pPr>
            <w:r w:rsidRPr="00635E76">
              <w:rPr>
                <w:rFonts w:ascii="Calibri" w:hAnsi="Calibri" w:cs="Times New Roman"/>
                <w:b/>
                <w:bCs/>
                <w:color w:val="000000"/>
                <w:sz w:val="20"/>
                <w:lang w:eastAsia="en-AU"/>
              </w:rPr>
              <w:t>Total</w:t>
            </w:r>
          </w:p>
        </w:tc>
        <w:tc>
          <w:tcPr>
            <w:tcW w:w="695" w:type="pct"/>
            <w:tcBorders>
              <w:top w:val="double" w:sz="6" w:space="0" w:color="366092"/>
              <w:left w:val="nil"/>
              <w:bottom w:val="nil"/>
              <w:right w:val="nil"/>
            </w:tcBorders>
            <w:shd w:val="clear" w:color="auto" w:fill="auto"/>
            <w:vAlign w:val="center"/>
            <w:hideMark/>
          </w:tcPr>
          <w:p w:rsidR="00E93D39" w:rsidRPr="008031F3" w:rsidRDefault="00E93D39" w:rsidP="00D31FB8">
            <w:pPr>
              <w:jc w:val="center"/>
              <w:rPr>
                <w:rFonts w:ascii="Calibri" w:hAnsi="Calibri" w:cs="Times New Roman"/>
                <w:b/>
                <w:bCs/>
                <w:color w:val="000000"/>
                <w:sz w:val="20"/>
                <w:lang w:eastAsia="en-AU"/>
              </w:rPr>
            </w:pPr>
            <w:r w:rsidRPr="008031F3">
              <w:rPr>
                <w:rFonts w:ascii="Calibri" w:hAnsi="Calibri" w:cs="Times New Roman"/>
                <w:b/>
                <w:bCs/>
                <w:color w:val="000000"/>
                <w:sz w:val="20"/>
                <w:lang w:eastAsia="en-AU"/>
              </w:rPr>
              <w:t>54</w:t>
            </w:r>
          </w:p>
        </w:tc>
        <w:tc>
          <w:tcPr>
            <w:tcW w:w="791" w:type="pct"/>
            <w:tcBorders>
              <w:top w:val="double" w:sz="6" w:space="0" w:color="366092"/>
              <w:left w:val="nil"/>
              <w:bottom w:val="nil"/>
              <w:right w:val="nil"/>
            </w:tcBorders>
            <w:shd w:val="clear" w:color="auto" w:fill="auto"/>
            <w:vAlign w:val="center"/>
            <w:hideMark/>
          </w:tcPr>
          <w:p w:rsidR="00E93D39" w:rsidRPr="008031F3" w:rsidRDefault="00E93D39" w:rsidP="00D31FB8">
            <w:pPr>
              <w:jc w:val="center"/>
              <w:rPr>
                <w:rFonts w:ascii="Calibri" w:hAnsi="Calibri" w:cs="Times New Roman"/>
                <w:b/>
                <w:bCs/>
                <w:color w:val="000000"/>
                <w:sz w:val="20"/>
                <w:lang w:eastAsia="en-AU"/>
              </w:rPr>
            </w:pPr>
            <w:r w:rsidRPr="008031F3">
              <w:rPr>
                <w:rFonts w:ascii="Calibri" w:hAnsi="Calibri" w:cs="Times New Roman"/>
                <w:b/>
                <w:bCs/>
                <w:color w:val="000000"/>
                <w:sz w:val="20"/>
                <w:lang w:eastAsia="en-AU"/>
              </w:rPr>
              <w:t>79</w:t>
            </w:r>
          </w:p>
        </w:tc>
        <w:tc>
          <w:tcPr>
            <w:tcW w:w="692" w:type="pct"/>
            <w:tcBorders>
              <w:top w:val="double" w:sz="6" w:space="0" w:color="366092"/>
              <w:left w:val="nil"/>
              <w:bottom w:val="nil"/>
              <w:right w:val="nil"/>
            </w:tcBorders>
            <w:shd w:val="clear" w:color="auto" w:fill="auto"/>
            <w:vAlign w:val="center"/>
            <w:hideMark/>
          </w:tcPr>
          <w:p w:rsidR="00E93D39" w:rsidRPr="008031F3" w:rsidRDefault="00E93D39" w:rsidP="00D31FB8">
            <w:pPr>
              <w:jc w:val="center"/>
              <w:rPr>
                <w:rFonts w:ascii="Calibri" w:hAnsi="Calibri" w:cs="Times New Roman"/>
                <w:b/>
                <w:bCs/>
                <w:color w:val="000000"/>
                <w:sz w:val="20"/>
                <w:lang w:eastAsia="en-AU"/>
              </w:rPr>
            </w:pPr>
            <w:r w:rsidRPr="008031F3">
              <w:rPr>
                <w:rFonts w:ascii="Calibri" w:hAnsi="Calibri" w:cs="Times New Roman"/>
                <w:b/>
                <w:bCs/>
                <w:color w:val="000000"/>
                <w:sz w:val="20"/>
                <w:lang w:eastAsia="en-AU"/>
              </w:rPr>
              <w:t>13</w:t>
            </w:r>
          </w:p>
        </w:tc>
        <w:tc>
          <w:tcPr>
            <w:tcW w:w="693" w:type="pct"/>
            <w:tcBorders>
              <w:top w:val="double" w:sz="6" w:space="0" w:color="366092"/>
              <w:left w:val="nil"/>
              <w:bottom w:val="nil"/>
              <w:right w:val="nil"/>
            </w:tcBorders>
            <w:shd w:val="clear" w:color="auto" w:fill="auto"/>
            <w:vAlign w:val="center"/>
            <w:hideMark/>
          </w:tcPr>
          <w:p w:rsidR="00E93D39" w:rsidRPr="008031F3" w:rsidRDefault="00E93D39" w:rsidP="00D31FB8">
            <w:pPr>
              <w:jc w:val="center"/>
              <w:rPr>
                <w:rFonts w:ascii="Calibri" w:hAnsi="Calibri" w:cs="Times New Roman"/>
                <w:b/>
                <w:bCs/>
                <w:color w:val="000000"/>
                <w:sz w:val="20"/>
                <w:lang w:eastAsia="en-AU"/>
              </w:rPr>
            </w:pPr>
            <w:r w:rsidRPr="008031F3">
              <w:rPr>
                <w:rFonts w:ascii="Calibri" w:hAnsi="Calibri" w:cs="Times New Roman"/>
                <w:b/>
                <w:bCs/>
                <w:color w:val="000000"/>
                <w:sz w:val="20"/>
                <w:lang w:eastAsia="en-AU"/>
              </w:rPr>
              <w:t>21</w:t>
            </w:r>
          </w:p>
        </w:tc>
        <w:tc>
          <w:tcPr>
            <w:tcW w:w="567" w:type="pct"/>
            <w:tcBorders>
              <w:top w:val="double" w:sz="6" w:space="0" w:color="366092"/>
              <w:left w:val="nil"/>
              <w:bottom w:val="nil"/>
              <w:right w:val="nil"/>
            </w:tcBorders>
            <w:shd w:val="clear" w:color="auto" w:fill="auto"/>
            <w:vAlign w:val="center"/>
          </w:tcPr>
          <w:p w:rsidR="00E93D39" w:rsidRPr="008031F3" w:rsidRDefault="00E93D39" w:rsidP="00D31FB8">
            <w:pPr>
              <w:jc w:val="center"/>
              <w:rPr>
                <w:rFonts w:ascii="Calibri" w:hAnsi="Calibri" w:cs="Times New Roman"/>
                <w:b/>
                <w:bCs/>
                <w:color w:val="000000"/>
                <w:sz w:val="20"/>
                <w:lang w:eastAsia="en-AU"/>
              </w:rPr>
            </w:pPr>
          </w:p>
        </w:tc>
        <w:tc>
          <w:tcPr>
            <w:tcW w:w="499" w:type="pct"/>
            <w:tcBorders>
              <w:top w:val="double" w:sz="6" w:space="0" w:color="366092"/>
              <w:left w:val="nil"/>
              <w:bottom w:val="nil"/>
              <w:right w:val="nil"/>
            </w:tcBorders>
            <w:shd w:val="clear" w:color="auto" w:fill="auto"/>
            <w:vAlign w:val="center"/>
            <w:hideMark/>
          </w:tcPr>
          <w:p w:rsidR="00E93D39" w:rsidRPr="008031F3" w:rsidRDefault="00E93D39" w:rsidP="00D31FB8">
            <w:pPr>
              <w:jc w:val="center"/>
              <w:rPr>
                <w:rFonts w:ascii="Calibri" w:hAnsi="Calibri" w:cs="Times New Roman"/>
                <w:b/>
                <w:bCs/>
                <w:color w:val="000000"/>
                <w:sz w:val="20"/>
                <w:lang w:eastAsia="en-AU"/>
              </w:rPr>
            </w:pPr>
            <w:r>
              <w:rPr>
                <w:rFonts w:ascii="Calibri" w:hAnsi="Calibri" w:cs="Times New Roman"/>
                <w:b/>
                <w:bCs/>
                <w:color w:val="000000"/>
                <w:sz w:val="20"/>
                <w:lang w:eastAsia="en-AU"/>
              </w:rPr>
              <w:t>167</w:t>
            </w:r>
          </w:p>
        </w:tc>
      </w:tr>
    </w:tbl>
    <w:p w:rsidR="007A01BD" w:rsidRPr="00F20AFE" w:rsidRDefault="00F82531" w:rsidP="00E93D39">
      <w:pPr>
        <w:pStyle w:val="Heading3"/>
      </w:pPr>
      <w:r w:rsidRPr="00F20AFE">
        <w:t xml:space="preserve">Monitoring action on the </w:t>
      </w:r>
      <w:r w:rsidRPr="00E93D39">
        <w:t>recommendations</w:t>
      </w:r>
      <w:r w:rsidRPr="00F20AFE">
        <w:t xml:space="preserve"> of… as a good parent would …</w:t>
      </w:r>
    </w:p>
    <w:p w:rsidR="007A01BD" w:rsidRPr="003F6306" w:rsidRDefault="00F82531" w:rsidP="00F20AFE">
      <w:r w:rsidRPr="003F6306">
        <w:t xml:space="preserve">In 2015 the Commission tabled its first systemic inquiry report, </w:t>
      </w:r>
      <w:r w:rsidRPr="003F6306">
        <w:rPr>
          <w:i/>
        </w:rPr>
        <w:t>… as a good parent would …</w:t>
      </w:r>
      <w:r w:rsidRPr="003F6306">
        <w:t>, to examine ongoing sexual abuse and exploitation</w:t>
      </w:r>
      <w:r w:rsidR="00F20AFE">
        <w:t xml:space="preserve"> </w:t>
      </w:r>
      <w:r w:rsidRPr="003F6306">
        <w:t>of children in residential care, and inadequate strategies to prevent abuse. The inquiry’s nine recommendations were accepted in principle and prompted DHHS to develop an 18-point plan to:</w:t>
      </w:r>
    </w:p>
    <w:p w:rsidR="007A01BD" w:rsidRPr="003F6306" w:rsidRDefault="00F82531" w:rsidP="00F20AFE">
      <w:pPr>
        <w:pStyle w:val="Bullets"/>
      </w:pPr>
      <w:r w:rsidRPr="003F6306">
        <w:t>urgently redevelop Victoria’s residential care system</w:t>
      </w:r>
    </w:p>
    <w:p w:rsidR="007A01BD" w:rsidRPr="003F6306" w:rsidRDefault="00F82531" w:rsidP="00F20AFE">
      <w:pPr>
        <w:pStyle w:val="Bullets"/>
      </w:pPr>
      <w:r w:rsidRPr="003F6306">
        <w:t>develop specialised care</w:t>
      </w:r>
      <w:r w:rsidRPr="003F6306">
        <w:rPr>
          <w:spacing w:val="15"/>
        </w:rPr>
        <w:t xml:space="preserve"> </w:t>
      </w:r>
      <w:r w:rsidRPr="003F6306">
        <w:t>options</w:t>
      </w:r>
    </w:p>
    <w:p w:rsidR="007A01BD" w:rsidRPr="003F6306" w:rsidRDefault="00F82531" w:rsidP="00F20AFE">
      <w:pPr>
        <w:pStyle w:val="Bullets"/>
      </w:pPr>
      <w:r w:rsidRPr="003F6306">
        <w:t>provide ongoing funding for a statewide sexual exploitation prevention</w:t>
      </w:r>
      <w:r w:rsidRPr="003F6306">
        <w:rPr>
          <w:spacing w:val="5"/>
        </w:rPr>
        <w:t xml:space="preserve"> </w:t>
      </w:r>
      <w:r w:rsidRPr="003F6306">
        <w:t>strategy</w:t>
      </w:r>
    </w:p>
    <w:p w:rsidR="007A01BD" w:rsidRPr="003F6306" w:rsidRDefault="00F82531" w:rsidP="00F20AFE">
      <w:pPr>
        <w:pStyle w:val="Bullets"/>
      </w:pPr>
      <w:r w:rsidRPr="003F6306">
        <w:t>improve</w:t>
      </w:r>
      <w:r w:rsidR="00F20AFE">
        <w:t xml:space="preserve"> </w:t>
      </w:r>
      <w:r w:rsidRPr="003F6306">
        <w:t>data systems, departmental structures and</w:t>
      </w:r>
      <w:r w:rsidRPr="003F6306">
        <w:rPr>
          <w:spacing w:val="22"/>
        </w:rPr>
        <w:t xml:space="preserve"> </w:t>
      </w:r>
      <w:r w:rsidRPr="003F6306">
        <w:t>processes.</w:t>
      </w:r>
    </w:p>
    <w:p w:rsidR="007A01BD" w:rsidRPr="003F6306" w:rsidRDefault="00F82531" w:rsidP="00F20AFE">
      <w:r w:rsidRPr="003F6306">
        <w:t>As at 30 June, the Victorian Government had made progress on many aspects of the recommendations including:</w:t>
      </w:r>
    </w:p>
    <w:p w:rsidR="007A01BD" w:rsidRPr="003F6306" w:rsidRDefault="00F82531" w:rsidP="00F20AFE">
      <w:pPr>
        <w:pStyle w:val="Bullets"/>
      </w:pPr>
      <w:r w:rsidRPr="003F6306">
        <w:t>the development of the ‘Keeping children safe from sexual exploitation strategy’, which involves a number of measures including assigning specialist child abuse investigators to work with children who are at risk of exploitation, establishing sexual exploitation Child</w:t>
      </w:r>
      <w:r w:rsidRPr="003F6306">
        <w:rPr>
          <w:spacing w:val="6"/>
        </w:rPr>
        <w:t xml:space="preserve"> </w:t>
      </w:r>
      <w:r w:rsidRPr="003F6306">
        <w:t>Protection</w:t>
      </w:r>
    </w:p>
    <w:p w:rsidR="007A01BD" w:rsidRPr="003F6306" w:rsidRDefault="00F82531" w:rsidP="00F20AFE">
      <w:pPr>
        <w:pStyle w:val="Bullets"/>
      </w:pPr>
      <w:r w:rsidRPr="003F6306">
        <w:t>practice leaders, and providing training and resources to the workforce</w:t>
      </w:r>
    </w:p>
    <w:p w:rsidR="007A01BD" w:rsidRPr="003F6306" w:rsidRDefault="00F82531" w:rsidP="00F20AFE">
      <w:pPr>
        <w:pStyle w:val="Bullets"/>
      </w:pPr>
      <w:r w:rsidRPr="003F6306">
        <w:t xml:space="preserve">$9.4 million to renew or replace up to </w:t>
      </w:r>
      <w:r w:rsidRPr="003F6306">
        <w:rPr>
          <w:spacing w:val="-4"/>
        </w:rPr>
        <w:t xml:space="preserve">24 </w:t>
      </w:r>
      <w:r w:rsidRPr="003F6306">
        <w:t>residential care properties; as at 30 June, four of these properties had been</w:t>
      </w:r>
      <w:r w:rsidRPr="003F6306">
        <w:rPr>
          <w:spacing w:val="27"/>
        </w:rPr>
        <w:t xml:space="preserve"> </w:t>
      </w:r>
      <w:r w:rsidRPr="003F6306">
        <w:t>built</w:t>
      </w:r>
    </w:p>
    <w:p w:rsidR="007A01BD" w:rsidRPr="003F6306" w:rsidRDefault="00F82531" w:rsidP="00F20AFE">
      <w:pPr>
        <w:pStyle w:val="Bullets"/>
      </w:pPr>
      <w:r w:rsidRPr="003F6306">
        <w:t>or renovated</w:t>
      </w:r>
    </w:p>
    <w:p w:rsidR="007A01BD" w:rsidRPr="003F6306" w:rsidRDefault="00F82531" w:rsidP="00F20AFE">
      <w:pPr>
        <w:pStyle w:val="Bullets"/>
      </w:pPr>
      <w:r w:rsidRPr="003F6306">
        <w:t>$2.3 million over two years for repairs of almost 230 residential care properties, along with a program of unannounced audits to review the condition of residential care properties and responsiveness to maintenance</w:t>
      </w:r>
      <w:r w:rsidRPr="003F6306">
        <w:rPr>
          <w:spacing w:val="11"/>
        </w:rPr>
        <w:t xml:space="preserve"> </w:t>
      </w:r>
      <w:r w:rsidRPr="003F6306">
        <w:t>issues</w:t>
      </w:r>
    </w:p>
    <w:p w:rsidR="007A01BD" w:rsidRPr="003F6306" w:rsidRDefault="00F82531" w:rsidP="00F20AFE">
      <w:pPr>
        <w:pStyle w:val="Bullets"/>
      </w:pPr>
      <w:r w:rsidRPr="003F6306">
        <w:t xml:space="preserve">an 8 per cent decrease in the number of children in residential care, from 453 in July </w:t>
      </w:r>
      <w:r w:rsidRPr="003F6306">
        <w:rPr>
          <w:spacing w:val="-5"/>
        </w:rPr>
        <w:t xml:space="preserve">2016 </w:t>
      </w:r>
      <w:r w:rsidRPr="003F6306">
        <w:t xml:space="preserve">to </w:t>
      </w:r>
      <w:r w:rsidRPr="003F6306">
        <w:rPr>
          <w:spacing w:val="-8"/>
        </w:rPr>
        <w:t xml:space="preserve">416 </w:t>
      </w:r>
      <w:r w:rsidRPr="003F6306">
        <w:t>in June</w:t>
      </w:r>
      <w:r w:rsidRPr="003F6306">
        <w:rPr>
          <w:spacing w:val="17"/>
        </w:rPr>
        <w:t xml:space="preserve"> </w:t>
      </w:r>
      <w:r w:rsidRPr="003F6306">
        <w:rPr>
          <w:spacing w:val="-6"/>
        </w:rPr>
        <w:t>2017</w:t>
      </w:r>
    </w:p>
    <w:p w:rsidR="007A01BD" w:rsidRPr="003F6306" w:rsidRDefault="00F82531" w:rsidP="00F20AFE">
      <w:pPr>
        <w:pStyle w:val="Bullets"/>
      </w:pPr>
      <w:r w:rsidRPr="003F6306">
        <w:t>$62 million funding over four years for ‘Targeted care packages’ to transition children out of residential care or prevent them from entering care – 386 packages have been provided (83 to Aboriginal children) as at 30 June</w:t>
      </w:r>
      <w:r w:rsidRPr="003F6306">
        <w:rPr>
          <w:spacing w:val="5"/>
        </w:rPr>
        <w:t xml:space="preserve"> </w:t>
      </w:r>
      <w:r w:rsidRPr="003F6306">
        <w:rPr>
          <w:spacing w:val="-6"/>
        </w:rPr>
        <w:t>2017</w:t>
      </w:r>
    </w:p>
    <w:p w:rsidR="007A01BD" w:rsidRPr="003F6306" w:rsidRDefault="00F82531" w:rsidP="00F20AFE">
      <w:pPr>
        <w:pStyle w:val="Bullets"/>
      </w:pPr>
      <w:r w:rsidRPr="003F6306">
        <w:t>a trial of the Treatment Foster Care Oregon program to assign professional foster carers to transition children out of residential care or prevent them from entering residential</w:t>
      </w:r>
      <w:r w:rsidRPr="00F20AFE">
        <w:rPr>
          <w:spacing w:val="13"/>
        </w:rPr>
        <w:t xml:space="preserve"> </w:t>
      </w:r>
      <w:r w:rsidRPr="003F6306">
        <w:t>care</w:t>
      </w:r>
    </w:p>
    <w:p w:rsidR="007A01BD" w:rsidRPr="003F6306" w:rsidRDefault="00F82531" w:rsidP="00F20AFE">
      <w:pPr>
        <w:pStyle w:val="Bullets"/>
      </w:pPr>
      <w:r w:rsidRPr="003F6306">
        <w:t xml:space="preserve">a trial of the Mentoring, Learning and Support program began in April </w:t>
      </w:r>
      <w:r w:rsidRPr="003F6306">
        <w:rPr>
          <w:spacing w:val="-6"/>
        </w:rPr>
        <w:t xml:space="preserve">2017 </w:t>
      </w:r>
      <w:r w:rsidRPr="003F6306">
        <w:t xml:space="preserve">to support </w:t>
      </w:r>
      <w:r w:rsidRPr="003F6306">
        <w:rPr>
          <w:spacing w:val="-5"/>
        </w:rPr>
        <w:t xml:space="preserve">10 </w:t>
      </w:r>
      <w:r w:rsidRPr="003F6306">
        <w:t>young people with complex needs to transition out of residential</w:t>
      </w:r>
      <w:r w:rsidRPr="003F6306">
        <w:rPr>
          <w:spacing w:val="21"/>
        </w:rPr>
        <w:t xml:space="preserve"> </w:t>
      </w:r>
      <w:r w:rsidRPr="003F6306">
        <w:t>care.</w:t>
      </w:r>
    </w:p>
    <w:p w:rsidR="007A01BD" w:rsidRPr="003F6306" w:rsidRDefault="00F82531" w:rsidP="00F20AFE">
      <w:r w:rsidRPr="003F6306">
        <w:t>We look forward to the introduction of an intensive support service in 2017 for young people with complex trauma who are in or about to enter residential care. This should help to address our concerns about the capacity of staff in residential care units to meet the complex</w:t>
      </w:r>
      <w:r w:rsidR="00F20AFE">
        <w:t xml:space="preserve"> </w:t>
      </w:r>
      <w:r w:rsidRPr="003F6306">
        <w:lastRenderedPageBreak/>
        <w:t>and challenging needs of many children in care. We remain concerned that there is no specialist independent body to which children and young people in residential care can make complaints. We also remain concerned that there has been limited response to our recommendation to improve placement matching</w:t>
      </w:r>
      <w:r w:rsidR="00F20AFE">
        <w:t>.</w:t>
      </w:r>
      <w:bookmarkStart w:id="33" w:name="_TOC_250019"/>
      <w:bookmarkEnd w:id="33"/>
      <w:r w:rsidRPr="003F6306">
        <w:t>Completed individual inquiries 2016–17</w:t>
      </w:r>
      <w:r w:rsidR="00E93D39">
        <w:t>.</w:t>
      </w:r>
    </w:p>
    <w:p w:rsidR="007A01BD" w:rsidRPr="003F6306" w:rsidRDefault="00F82531" w:rsidP="00F20AFE">
      <w:pPr>
        <w:pStyle w:val="Heading3"/>
      </w:pPr>
      <w:r w:rsidRPr="003F6306">
        <w:t>Inquiry concerning services provided to a young person in youth justice</w:t>
      </w:r>
    </w:p>
    <w:p w:rsidR="007A01BD" w:rsidRPr="003F6306" w:rsidRDefault="00F82531" w:rsidP="00F20AFE">
      <w:r w:rsidRPr="003F6306">
        <w:t>This inquiry followed an incident where restraint by a staff member resulted in serious injuries</w:t>
      </w:r>
    </w:p>
    <w:p w:rsidR="007A01BD" w:rsidRPr="003F6306" w:rsidRDefault="00F82531" w:rsidP="00F20AFE">
      <w:r w:rsidRPr="003F6306">
        <w:t>to a child, and was extended when the same child suffered another serious injury in similar circumstances, at the same facility.</w:t>
      </w:r>
    </w:p>
    <w:p w:rsidR="007A01BD" w:rsidRPr="003F6306" w:rsidRDefault="00F82531" w:rsidP="00F20AFE">
      <w:r w:rsidRPr="003F6306">
        <w:t>The inquiry revealed that in both cases the physical restraints imposed were inconsistent with good practice. Staff did not attempt to de-escalate the situation before resorting</w:t>
      </w:r>
    </w:p>
    <w:p w:rsidR="007A01BD" w:rsidRPr="003F6306" w:rsidRDefault="00F82531" w:rsidP="00F20AFE">
      <w:r w:rsidRPr="003F6306">
        <w:t>to restraint and, in one case, used physical restraint when there was no physical threat by the child. The inquiry highlighted the importance of staff understanding how to</w:t>
      </w:r>
    </w:p>
    <w:p w:rsidR="007A01BD" w:rsidRPr="003F6306" w:rsidRDefault="00F82531" w:rsidP="00F20AFE">
      <w:r w:rsidRPr="003F6306">
        <w:t>respond to challenging behaviours, and children and young people with medical conditions.</w:t>
      </w:r>
    </w:p>
    <w:p w:rsidR="007A01BD" w:rsidRPr="003F6306" w:rsidRDefault="00F82531" w:rsidP="00F20AFE">
      <w:r w:rsidRPr="003F6306">
        <w:t>Another problem that we identified was a lack of communication between staff when a child is transferred between</w:t>
      </w:r>
      <w:r w:rsidRPr="003F6306">
        <w:rPr>
          <w:spacing w:val="20"/>
        </w:rPr>
        <w:t xml:space="preserve"> </w:t>
      </w:r>
      <w:r w:rsidRPr="003F6306">
        <w:t>units.</w:t>
      </w:r>
    </w:p>
    <w:p w:rsidR="007A01BD" w:rsidRPr="003F6306" w:rsidRDefault="00F82531" w:rsidP="00F20AFE">
      <w:r w:rsidRPr="003F6306">
        <w:t>The inquiry highlighted the need for children and young people in youth justice to have facilities where they can recover from health and medical problems, and the importance of a thorough process for reviewing incidents where young people have been restrained by staff.</w:t>
      </w:r>
    </w:p>
    <w:p w:rsidR="007A01BD" w:rsidRPr="003F6306" w:rsidRDefault="00F82531" w:rsidP="00F20AFE">
      <w:r w:rsidRPr="003F6306">
        <w:t>The inquiry made nine recommendations, including:</w:t>
      </w:r>
    </w:p>
    <w:p w:rsidR="007A01BD" w:rsidRPr="003F6306" w:rsidRDefault="00F82531" w:rsidP="00F20AFE">
      <w:pPr>
        <w:pStyle w:val="Bullets"/>
      </w:pPr>
      <w:r w:rsidRPr="003F6306">
        <w:t>improvements to staff training to modify staff responses to challenging behaviour by children and young</w:t>
      </w:r>
      <w:r w:rsidRPr="003F6306">
        <w:rPr>
          <w:spacing w:val="13"/>
        </w:rPr>
        <w:t xml:space="preserve"> </w:t>
      </w:r>
      <w:r w:rsidRPr="003F6306">
        <w:t>people</w:t>
      </w:r>
    </w:p>
    <w:p w:rsidR="007A01BD" w:rsidRPr="003F6306" w:rsidRDefault="00F82531" w:rsidP="00F20AFE">
      <w:pPr>
        <w:pStyle w:val="Bullets"/>
      </w:pPr>
      <w:r w:rsidRPr="003F6306">
        <w:t>improvements in communication processes and the transfer of information about children and young people between units and among unit</w:t>
      </w:r>
      <w:r w:rsidRPr="003F6306">
        <w:rPr>
          <w:spacing w:val="7"/>
        </w:rPr>
        <w:t xml:space="preserve"> </w:t>
      </w:r>
      <w:r w:rsidRPr="003F6306">
        <w:t>staff</w:t>
      </w:r>
    </w:p>
    <w:p w:rsidR="007A01BD" w:rsidRPr="003F6306" w:rsidRDefault="00F82531" w:rsidP="00F20AFE">
      <w:pPr>
        <w:pStyle w:val="Bullets"/>
      </w:pPr>
      <w:r w:rsidRPr="003F6306">
        <w:t>that polices be developed to guide unit staff on how to respond and restrain children and young people suffering medical conditions or</w:t>
      </w:r>
      <w:r w:rsidRPr="003F6306">
        <w:rPr>
          <w:spacing w:val="5"/>
        </w:rPr>
        <w:t xml:space="preserve"> </w:t>
      </w:r>
      <w:r w:rsidRPr="003F6306">
        <w:t>injuries</w:t>
      </w:r>
    </w:p>
    <w:p w:rsidR="007A01BD" w:rsidRPr="003F6306" w:rsidRDefault="00F82531" w:rsidP="00F20AFE">
      <w:pPr>
        <w:pStyle w:val="Bullets"/>
      </w:pPr>
      <w:r w:rsidRPr="003F6306">
        <w:t>that the new youth justice centre include infrastructure to accommodate children and young people returning from hospital and recovering from physical</w:t>
      </w:r>
      <w:r w:rsidRPr="003F6306">
        <w:rPr>
          <w:spacing w:val="10"/>
        </w:rPr>
        <w:t xml:space="preserve"> </w:t>
      </w:r>
      <w:r w:rsidRPr="003F6306">
        <w:t>injuries</w:t>
      </w:r>
    </w:p>
    <w:p w:rsidR="007A01BD" w:rsidRPr="003F6306" w:rsidRDefault="00F82531" w:rsidP="00F20AFE">
      <w:pPr>
        <w:pStyle w:val="Bullets"/>
      </w:pPr>
      <w:r w:rsidRPr="003F6306">
        <w:t>improvements to the department’s internal ‘Restraint review’</w:t>
      </w:r>
      <w:r w:rsidRPr="003F6306">
        <w:rPr>
          <w:spacing w:val="10"/>
        </w:rPr>
        <w:t xml:space="preserve"> </w:t>
      </w:r>
      <w:r w:rsidRPr="003F6306">
        <w:t>process.</w:t>
      </w:r>
    </w:p>
    <w:p w:rsidR="007A01BD" w:rsidRPr="003F6306" w:rsidRDefault="00F82531" w:rsidP="00F20AFE">
      <w:pPr>
        <w:pStyle w:val="Heading3"/>
      </w:pPr>
      <w:r w:rsidRPr="003F6306">
        <w:t>Inquiry concerning services provided to an Aboriginal child in out-of-home care</w:t>
      </w:r>
    </w:p>
    <w:p w:rsidR="007A01BD" w:rsidRPr="003F6306" w:rsidRDefault="00F82531" w:rsidP="00F20AFE">
      <w:r w:rsidRPr="003F6306">
        <w:t>We initiated an inquiry into the circumstances that led to a child being de-identified as Aboriginal on the DHHS Client Relationships Information System (CRIS) database. During the course of this inquiry, Child Protection developed policies and procedures on de-</w:t>
      </w:r>
    </w:p>
    <w:p w:rsidR="007A01BD" w:rsidRPr="003F6306" w:rsidRDefault="00F82531" w:rsidP="00F20AFE">
      <w:r w:rsidRPr="003F6306">
        <w:t xml:space="preserve">identifying children as Aboriginal. The new policy requires endorsement from the Commissioner  for Aboriginal Children and </w:t>
      </w:r>
      <w:r w:rsidRPr="003F6306">
        <w:rPr>
          <w:spacing w:val="-4"/>
        </w:rPr>
        <w:t xml:space="preserve">Young </w:t>
      </w:r>
      <w:r w:rsidRPr="003F6306">
        <w:t>People before a child can be</w:t>
      </w:r>
      <w:r w:rsidRPr="003F6306">
        <w:rPr>
          <w:spacing w:val="17"/>
        </w:rPr>
        <w:t xml:space="preserve"> </w:t>
      </w:r>
      <w:r w:rsidRPr="003F6306">
        <w:t>de-identified.</w:t>
      </w:r>
    </w:p>
    <w:p w:rsidR="007A01BD" w:rsidRPr="003F6306" w:rsidRDefault="00F82531" w:rsidP="00F20AFE">
      <w:pPr>
        <w:pStyle w:val="Heading2"/>
      </w:pPr>
      <w:bookmarkStart w:id="34" w:name="_TOC_250018"/>
      <w:bookmarkStart w:id="35" w:name="_Toc496019824"/>
      <w:bookmarkEnd w:id="34"/>
      <w:r w:rsidRPr="003F6306">
        <w:t>Inquiries underway</w:t>
      </w:r>
      <w:bookmarkEnd w:id="35"/>
    </w:p>
    <w:p w:rsidR="007A01BD" w:rsidRPr="003F6306" w:rsidRDefault="00F82531" w:rsidP="00F20AFE">
      <w:r w:rsidRPr="003F6306">
        <w:t>In 2016–17 we initiated some inquiries that are still in progress. These include inquiries into services provided to:</w:t>
      </w:r>
    </w:p>
    <w:p w:rsidR="007A01BD" w:rsidRPr="003F6306" w:rsidRDefault="00F82531" w:rsidP="00F20AFE">
      <w:pPr>
        <w:pStyle w:val="Bullets"/>
      </w:pPr>
      <w:r w:rsidRPr="003F6306">
        <w:t xml:space="preserve">a group of vulnerable children in Grevillea </w:t>
      </w:r>
      <w:r w:rsidRPr="003F6306">
        <w:rPr>
          <w:spacing w:val="-4"/>
        </w:rPr>
        <w:t xml:space="preserve">Youth </w:t>
      </w:r>
      <w:r w:rsidRPr="003F6306">
        <w:t xml:space="preserve">Justice Centre, prior to, during and following an incident on </w:t>
      </w:r>
      <w:r w:rsidRPr="003F6306">
        <w:rPr>
          <w:spacing w:val="-6"/>
        </w:rPr>
        <w:t xml:space="preserve">13 </w:t>
      </w:r>
      <w:r w:rsidRPr="003F6306">
        <w:t>February</w:t>
      </w:r>
      <w:r w:rsidRPr="003F6306">
        <w:rPr>
          <w:spacing w:val="27"/>
        </w:rPr>
        <w:t xml:space="preserve"> </w:t>
      </w:r>
      <w:r w:rsidRPr="003F6306">
        <w:rPr>
          <w:spacing w:val="-6"/>
        </w:rPr>
        <w:t>2017</w:t>
      </w:r>
    </w:p>
    <w:p w:rsidR="007A01BD" w:rsidRPr="003F6306" w:rsidRDefault="00F82531" w:rsidP="00F20AFE">
      <w:pPr>
        <w:pStyle w:val="Bullets"/>
      </w:pPr>
      <w:r w:rsidRPr="003F6306">
        <w:t>children known to Child Protection who have died from</w:t>
      </w:r>
      <w:r w:rsidRPr="003F6306">
        <w:rPr>
          <w:spacing w:val="10"/>
        </w:rPr>
        <w:t xml:space="preserve"> </w:t>
      </w:r>
      <w:r w:rsidRPr="003F6306">
        <w:t>suicide</w:t>
      </w:r>
    </w:p>
    <w:p w:rsidR="007A01BD" w:rsidRPr="003F6306" w:rsidRDefault="00F82531" w:rsidP="00F20AFE">
      <w:pPr>
        <w:pStyle w:val="Bullets"/>
      </w:pPr>
      <w:r w:rsidRPr="003F6306">
        <w:t>children known to Child Protection who have complex medical needs or</w:t>
      </w:r>
      <w:r w:rsidRPr="003F6306">
        <w:rPr>
          <w:spacing w:val="23"/>
        </w:rPr>
        <w:t xml:space="preserve"> </w:t>
      </w:r>
      <w:r w:rsidRPr="003F6306">
        <w:t>disabilities.</w:t>
      </w:r>
    </w:p>
    <w:p w:rsidR="007A01BD" w:rsidRPr="003F6306" w:rsidRDefault="00F82531" w:rsidP="00F20AFE">
      <w:pPr>
        <w:pStyle w:val="Heading2"/>
      </w:pPr>
      <w:bookmarkStart w:id="36" w:name="_TOC_250017"/>
      <w:bookmarkStart w:id="37" w:name="_Toc496019825"/>
      <w:bookmarkEnd w:id="36"/>
      <w:r w:rsidRPr="003F6306">
        <w:lastRenderedPageBreak/>
        <w:t>Child death inquiries</w:t>
      </w:r>
      <w:bookmarkEnd w:id="37"/>
    </w:p>
    <w:p w:rsidR="00F20AFE" w:rsidRDefault="00F82531" w:rsidP="00F20AFE">
      <w:r w:rsidRPr="003F6306">
        <w:t>Under the CCYP Act we must conduct an inquiry into the services provided to a child who was known to Child Protection in the 12 months before their death. These inquiries aim to identify aspects of the service system that need to be improved to help children in the future. We identify service improvements even where the services had no connection to the child’s death. This year these inquiries produced 51 recommendations.</w:t>
      </w:r>
    </w:p>
    <w:p w:rsidR="007A01BD" w:rsidRPr="003F6306" w:rsidRDefault="00F82531" w:rsidP="00F20AFE">
      <w:pPr>
        <w:pStyle w:val="Heading3"/>
      </w:pPr>
      <w:r w:rsidRPr="003F6306">
        <w:t>Child deaths reported to the Commission 2016–17</w:t>
      </w:r>
    </w:p>
    <w:p w:rsidR="007A01BD" w:rsidRPr="003F6306" w:rsidRDefault="00F82531" w:rsidP="00F20AFE">
      <w:r w:rsidRPr="003F6306">
        <w:t>We were notified of the deaths of 36 children in 2016–17; four of those children were Aboriginal.</w:t>
      </w:r>
    </w:p>
    <w:p w:rsidR="007A01BD" w:rsidRPr="003F6306" w:rsidRDefault="00F82531" w:rsidP="00F20AFE">
      <w:r w:rsidRPr="003F6306">
        <w:t>The category of death in the following tables is based on information available to the Commission, such as Child Protection files, medical reports, autopsy reports, forensic reports and, when available, coronial findings. This categorisation is indicative; only</w:t>
      </w:r>
      <w:r w:rsidRPr="003F6306">
        <w:rPr>
          <w:spacing w:val="10"/>
        </w:rPr>
        <w:t xml:space="preserve"> </w:t>
      </w:r>
      <w:r w:rsidRPr="003F6306">
        <w:t>the</w:t>
      </w:r>
    </w:p>
    <w:p w:rsidR="007A01BD" w:rsidRPr="003F6306" w:rsidRDefault="00F82531" w:rsidP="00F20AFE">
      <w:r w:rsidRPr="003F6306">
        <w:t>Coroner determines the cause of death. For the deaths that we have categorised this financial year the majority appear to have resulted from illness or accident (Tables 2 and 3).</w:t>
      </w:r>
    </w:p>
    <w:p w:rsidR="00E93D39" w:rsidRDefault="00E93D39" w:rsidP="00F20AFE"/>
    <w:p w:rsidR="007A01BD" w:rsidRPr="003F6306" w:rsidRDefault="00E93D39" w:rsidP="00E93D39">
      <w:pPr>
        <w:pStyle w:val="Caption"/>
        <w:rPr>
          <w:rFonts w:ascii="HelveticaNeue-Medium"/>
          <w:sz w:val="27"/>
        </w:rPr>
      </w:pPr>
      <w:bookmarkStart w:id="38" w:name="_Toc496019880"/>
      <w:r>
        <w:t xml:space="preserve">Table </w:t>
      </w:r>
      <w:r>
        <w:fldChar w:fldCharType="begin"/>
      </w:r>
      <w:r>
        <w:instrText xml:space="preserve"> SEQ Table \* ARABIC </w:instrText>
      </w:r>
      <w:r>
        <w:fldChar w:fldCharType="separate"/>
      </w:r>
      <w:r w:rsidR="00DF01C3">
        <w:rPr>
          <w:noProof/>
        </w:rPr>
        <w:t>2</w:t>
      </w:r>
      <w:r>
        <w:fldChar w:fldCharType="end"/>
      </w:r>
      <w:r>
        <w:t xml:space="preserve"> </w:t>
      </w:r>
      <w:r w:rsidRPr="00DC002F">
        <w:t>Child death notifications received by the Commission in 2016–17, by Aboriginal status and category of death</w:t>
      </w:r>
      <w:bookmarkEnd w:id="38"/>
    </w:p>
    <w:tbl>
      <w:tblPr>
        <w:tblStyle w:val="LightList-Accent1"/>
        <w:tblW w:w="0" w:type="auto"/>
        <w:tblLayout w:type="fixed"/>
        <w:tblLook w:val="01E0" w:firstRow="1" w:lastRow="1" w:firstColumn="1" w:lastColumn="1" w:noHBand="0" w:noVBand="0"/>
      </w:tblPr>
      <w:tblGrid>
        <w:gridCol w:w="2269"/>
        <w:gridCol w:w="1546"/>
        <w:gridCol w:w="2279"/>
        <w:gridCol w:w="1719"/>
        <w:gridCol w:w="1820"/>
      </w:tblGrid>
      <w:tr w:rsidR="007A01BD" w:rsidRPr="00E93D39" w:rsidTr="00E93D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Category of death</w:t>
            </w:r>
            <w:r w:rsidR="00634352">
              <w:rPr>
                <w:rStyle w:val="FootnoteReference"/>
              </w:rPr>
              <w:footnoteReference w:id="1"/>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F82531" w:rsidP="00E93D39">
            <w:r w:rsidRPr="00E93D39">
              <w:t>Aboriginal</w:t>
            </w:r>
          </w:p>
        </w:tc>
        <w:tc>
          <w:tcPr>
            <w:tcW w:w="2279" w:type="dxa"/>
          </w:tcPr>
          <w:p w:rsidR="007A01BD" w:rsidRPr="00E93D39" w:rsidRDefault="00F82531" w:rsidP="00E93D39">
            <w:pPr>
              <w:cnfStyle w:val="100000000000" w:firstRow="1" w:lastRow="0" w:firstColumn="0" w:lastColumn="0" w:oddVBand="0" w:evenVBand="0" w:oddHBand="0" w:evenHBand="0" w:firstRowFirstColumn="0" w:firstRowLastColumn="0" w:lastRowFirstColumn="0" w:lastRowLastColumn="0"/>
            </w:pPr>
            <w:r w:rsidRPr="00E93D39">
              <w:t>Non-Aboriginal</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Total</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Per cent</w:t>
            </w:r>
          </w:p>
        </w:tc>
      </w:tr>
      <w:tr w:rsidR="007A01BD" w:rsidRPr="00E93D39" w:rsidTr="00E93D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Illness</w:t>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F82531" w:rsidP="00E93D39">
            <w:r w:rsidRPr="00E93D39">
              <w:t>1</w:t>
            </w:r>
          </w:p>
        </w:tc>
        <w:tc>
          <w:tcPr>
            <w:tcW w:w="2279" w:type="dxa"/>
          </w:tcPr>
          <w:p w:rsidR="007A01BD" w:rsidRPr="00E93D39" w:rsidRDefault="00F82531" w:rsidP="00E93D39">
            <w:pPr>
              <w:cnfStyle w:val="000000100000" w:firstRow="0" w:lastRow="0" w:firstColumn="0" w:lastColumn="0" w:oddVBand="0" w:evenVBand="0" w:oddHBand="1" w:evenHBand="0" w:firstRowFirstColumn="0" w:firstRowLastColumn="0" w:lastRowFirstColumn="0" w:lastRowLastColumn="0"/>
            </w:pPr>
            <w:r w:rsidRPr="00E93D39">
              <w:t>12</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13</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36.1</w:t>
            </w:r>
          </w:p>
        </w:tc>
      </w:tr>
      <w:tr w:rsidR="007A01BD" w:rsidRPr="00E93D39" w:rsidTr="00E93D39">
        <w:trPr>
          <w:trHeight w:val="44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Accident</w:t>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7A01BD" w:rsidP="00E93D39"/>
        </w:tc>
        <w:tc>
          <w:tcPr>
            <w:tcW w:w="2279" w:type="dxa"/>
          </w:tcPr>
          <w:p w:rsidR="007A01BD" w:rsidRPr="00E93D39" w:rsidRDefault="00F82531" w:rsidP="00E93D39">
            <w:pPr>
              <w:cnfStyle w:val="000000000000" w:firstRow="0" w:lastRow="0" w:firstColumn="0" w:lastColumn="0" w:oddVBand="0" w:evenVBand="0" w:oddHBand="0" w:evenHBand="0" w:firstRowFirstColumn="0" w:firstRowLastColumn="0" w:lastRowFirstColumn="0" w:lastRowLastColumn="0"/>
            </w:pPr>
            <w:r w:rsidRPr="00E93D39">
              <w:t>6</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6</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16.4</w:t>
            </w:r>
          </w:p>
        </w:tc>
      </w:tr>
      <w:tr w:rsidR="007A01BD" w:rsidRPr="00E93D39" w:rsidTr="00E93D3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Suicide/self-harm</w:t>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7A01BD" w:rsidP="00E93D39"/>
        </w:tc>
        <w:tc>
          <w:tcPr>
            <w:tcW w:w="2279" w:type="dxa"/>
          </w:tcPr>
          <w:p w:rsidR="007A01BD" w:rsidRPr="00E93D39" w:rsidRDefault="00F82531" w:rsidP="00E93D39">
            <w:pPr>
              <w:cnfStyle w:val="000000100000" w:firstRow="0" w:lastRow="0" w:firstColumn="0" w:lastColumn="0" w:oddVBand="0" w:evenVBand="0" w:oddHBand="1" w:evenHBand="0" w:firstRowFirstColumn="0" w:firstRowLastColumn="0" w:lastRowFirstColumn="0" w:lastRowLastColumn="0"/>
            </w:pPr>
            <w:r w:rsidRPr="00E93D39">
              <w:t>3</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4</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11.1</w:t>
            </w:r>
          </w:p>
        </w:tc>
      </w:tr>
      <w:tr w:rsidR="007A01BD" w:rsidRPr="00E93D39" w:rsidTr="00E93D39">
        <w:trPr>
          <w:trHeight w:val="44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634352">
            <w:r w:rsidRPr="00E93D39">
              <w:t>Pending determination</w:t>
            </w:r>
            <w:r w:rsidR="00634352">
              <w:rPr>
                <w:rStyle w:val="FootnoteReference"/>
              </w:rPr>
              <w:footnoteReference w:id="2"/>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F82531" w:rsidP="00E93D39">
            <w:r w:rsidRPr="00E93D39">
              <w:t>1</w:t>
            </w:r>
          </w:p>
        </w:tc>
        <w:tc>
          <w:tcPr>
            <w:tcW w:w="2279" w:type="dxa"/>
          </w:tcPr>
          <w:p w:rsidR="007A01BD" w:rsidRPr="00E93D39" w:rsidRDefault="00F82531" w:rsidP="00E93D39">
            <w:pPr>
              <w:cnfStyle w:val="000000000000" w:firstRow="0" w:lastRow="0" w:firstColumn="0" w:lastColumn="0" w:oddVBand="0" w:evenVBand="0" w:oddHBand="0" w:evenHBand="0" w:firstRowFirstColumn="0" w:firstRowLastColumn="0" w:lastRowFirstColumn="0" w:lastRowLastColumn="0"/>
            </w:pPr>
            <w:r w:rsidRPr="00E93D39">
              <w:t>3</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3</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8.3</w:t>
            </w:r>
          </w:p>
        </w:tc>
      </w:tr>
      <w:tr w:rsidR="007A01BD" w:rsidRPr="00E93D39" w:rsidTr="00E93D3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Sudden unexpected death in infancy (SUDI)</w:t>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7A01BD" w:rsidP="00E93D39"/>
        </w:tc>
        <w:tc>
          <w:tcPr>
            <w:tcW w:w="2279" w:type="dxa"/>
          </w:tcPr>
          <w:p w:rsidR="007A01BD" w:rsidRPr="00E93D39" w:rsidRDefault="00F82531" w:rsidP="00E93D39">
            <w:pPr>
              <w:cnfStyle w:val="000000100000" w:firstRow="0" w:lastRow="0" w:firstColumn="0" w:lastColumn="0" w:oddVBand="0" w:evenVBand="0" w:oddHBand="1" w:evenHBand="0" w:firstRowFirstColumn="0" w:firstRowLastColumn="0" w:lastRowFirstColumn="0" w:lastRowLastColumn="0"/>
            </w:pPr>
            <w:r w:rsidRPr="00E93D39">
              <w:t>3</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3</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8.3</w:t>
            </w:r>
          </w:p>
        </w:tc>
      </w:tr>
      <w:tr w:rsidR="007A01BD" w:rsidRPr="00E93D39" w:rsidTr="00E93D39">
        <w:trPr>
          <w:trHeight w:val="44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Drug/substance related</w:t>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7A01BD" w:rsidP="00E93D39"/>
        </w:tc>
        <w:tc>
          <w:tcPr>
            <w:tcW w:w="2279" w:type="dxa"/>
          </w:tcPr>
          <w:p w:rsidR="007A01BD" w:rsidRPr="00E93D39" w:rsidRDefault="00F82531" w:rsidP="00E93D39">
            <w:pPr>
              <w:cnfStyle w:val="000000000000" w:firstRow="0" w:lastRow="0" w:firstColumn="0" w:lastColumn="0" w:oddVBand="0" w:evenVBand="0" w:oddHBand="0" w:evenHBand="0" w:firstRowFirstColumn="0" w:firstRowLastColumn="0" w:lastRowFirstColumn="0" w:lastRowLastColumn="0"/>
            </w:pPr>
            <w:r w:rsidRPr="00E93D39">
              <w:t>3</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3</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8.3</w:t>
            </w:r>
          </w:p>
        </w:tc>
      </w:tr>
      <w:tr w:rsidR="007A01BD" w:rsidRPr="00E93D39" w:rsidTr="00E93D3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Non-accidental</w:t>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F82531" w:rsidP="00E93D39">
            <w:r w:rsidRPr="00E93D39">
              <w:t>2</w:t>
            </w:r>
          </w:p>
        </w:tc>
        <w:tc>
          <w:tcPr>
            <w:tcW w:w="2279" w:type="dxa"/>
          </w:tcPr>
          <w:p w:rsidR="007A01BD" w:rsidRPr="00E93D39" w:rsidRDefault="00F82531" w:rsidP="00E93D39">
            <w:pPr>
              <w:cnfStyle w:val="000000100000" w:firstRow="0" w:lastRow="0" w:firstColumn="0" w:lastColumn="0" w:oddVBand="0" w:evenVBand="0" w:oddHBand="1" w:evenHBand="0" w:firstRowFirstColumn="0" w:firstRowLastColumn="0" w:lastRowFirstColumn="0" w:lastRowLastColumn="0"/>
            </w:pPr>
            <w:r w:rsidRPr="00E93D39">
              <w:t>1</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3</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8.3</w:t>
            </w:r>
          </w:p>
        </w:tc>
      </w:tr>
      <w:tr w:rsidR="007A01BD" w:rsidRPr="00E93D39" w:rsidTr="00E93D39">
        <w:trPr>
          <w:trHeight w:val="44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634352">
            <w:r w:rsidRPr="00E93D39">
              <w:t>Unascertained</w:t>
            </w:r>
            <w:r w:rsidR="00634352">
              <w:rPr>
                <w:rStyle w:val="FootnoteReference"/>
              </w:rPr>
              <w:footnoteReference w:id="3"/>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7A01BD" w:rsidP="00E93D39"/>
        </w:tc>
        <w:tc>
          <w:tcPr>
            <w:tcW w:w="2279" w:type="dxa"/>
          </w:tcPr>
          <w:p w:rsidR="007A01BD" w:rsidRPr="00E93D39" w:rsidRDefault="00F82531" w:rsidP="00E93D39">
            <w:pPr>
              <w:cnfStyle w:val="000000000000" w:firstRow="0" w:lastRow="0" w:firstColumn="0" w:lastColumn="0" w:oddVBand="0" w:evenVBand="0" w:oddHBand="0" w:evenHBand="0" w:firstRowFirstColumn="0" w:firstRowLastColumn="0" w:lastRowFirstColumn="0" w:lastRowLastColumn="0"/>
            </w:pPr>
            <w:r w:rsidRPr="00E93D39">
              <w:t>1</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1</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2.8</w:t>
            </w:r>
          </w:p>
        </w:tc>
      </w:tr>
      <w:tr w:rsidR="007A01BD" w:rsidRPr="00E93D39" w:rsidTr="00E93D3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Total</w:t>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F82531" w:rsidP="00E93D39">
            <w:r w:rsidRPr="00E93D39">
              <w:t>4</w:t>
            </w:r>
          </w:p>
        </w:tc>
        <w:tc>
          <w:tcPr>
            <w:tcW w:w="2279" w:type="dxa"/>
          </w:tcPr>
          <w:p w:rsidR="007A01BD" w:rsidRPr="00E93D39" w:rsidRDefault="00F82531" w:rsidP="00E93D39">
            <w:pPr>
              <w:cnfStyle w:val="000000100000" w:firstRow="0" w:lastRow="0" w:firstColumn="0" w:lastColumn="0" w:oddVBand="0" w:evenVBand="0" w:oddHBand="1" w:evenHBand="0" w:firstRowFirstColumn="0" w:firstRowLastColumn="0" w:lastRowFirstColumn="0" w:lastRowLastColumn="0"/>
            </w:pPr>
            <w:r w:rsidRPr="00E93D39">
              <w:t>32</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F82531" w:rsidP="00E93D39">
            <w:r w:rsidRPr="00E93D39">
              <w:t>36</w:t>
            </w:r>
          </w:p>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F82531" w:rsidP="00E93D39">
            <w:r w:rsidRPr="00E93D39">
              <w:t>100</w:t>
            </w:r>
          </w:p>
        </w:tc>
      </w:tr>
      <w:tr w:rsidR="007A01BD" w:rsidRPr="00E93D39" w:rsidTr="00E93D39">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9" w:type="dxa"/>
          </w:tcPr>
          <w:p w:rsidR="007A01BD" w:rsidRPr="00E93D39" w:rsidRDefault="00F82531" w:rsidP="00E93D39">
            <w:r w:rsidRPr="00E93D39">
              <w:t>Per cent</w:t>
            </w:r>
          </w:p>
        </w:tc>
        <w:tc>
          <w:tcPr>
            <w:cnfStyle w:val="000010000000" w:firstRow="0" w:lastRow="0" w:firstColumn="0" w:lastColumn="0" w:oddVBand="1" w:evenVBand="0" w:oddHBand="0" w:evenHBand="0" w:firstRowFirstColumn="0" w:firstRowLastColumn="0" w:lastRowFirstColumn="0" w:lastRowLastColumn="0"/>
            <w:tcW w:w="1546" w:type="dxa"/>
          </w:tcPr>
          <w:p w:rsidR="007A01BD" w:rsidRPr="00E93D39" w:rsidRDefault="00F82531" w:rsidP="00E93D39">
            <w:r w:rsidRPr="00E93D39">
              <w:t>11.1</w:t>
            </w:r>
          </w:p>
        </w:tc>
        <w:tc>
          <w:tcPr>
            <w:tcW w:w="2279" w:type="dxa"/>
          </w:tcPr>
          <w:p w:rsidR="007A01BD" w:rsidRPr="00E93D39" w:rsidRDefault="00F82531" w:rsidP="00E93D39">
            <w:pPr>
              <w:cnfStyle w:val="010000000000" w:firstRow="0" w:lastRow="1" w:firstColumn="0" w:lastColumn="0" w:oddVBand="0" w:evenVBand="0" w:oddHBand="0" w:evenHBand="0" w:firstRowFirstColumn="0" w:firstRowLastColumn="0" w:lastRowFirstColumn="0" w:lastRowLastColumn="0"/>
            </w:pPr>
            <w:r w:rsidRPr="00E93D39">
              <w:t>88.9</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E93D39" w:rsidRDefault="007A01BD" w:rsidP="00E93D39"/>
        </w:tc>
        <w:tc>
          <w:tcPr>
            <w:cnfStyle w:val="000100000000" w:firstRow="0" w:lastRow="0" w:firstColumn="0" w:lastColumn="1" w:oddVBand="0" w:evenVBand="0" w:oddHBand="0" w:evenHBand="0" w:firstRowFirstColumn="0" w:firstRowLastColumn="0" w:lastRowFirstColumn="0" w:lastRowLastColumn="0"/>
            <w:tcW w:w="1820" w:type="dxa"/>
          </w:tcPr>
          <w:p w:rsidR="007A01BD" w:rsidRPr="00E93D39" w:rsidRDefault="007A01BD" w:rsidP="00E93D39"/>
        </w:tc>
      </w:tr>
    </w:tbl>
    <w:p w:rsidR="007A01BD" w:rsidRDefault="007A01BD" w:rsidP="00634352">
      <w:pPr>
        <w:tabs>
          <w:tab w:val="left" w:pos="249"/>
        </w:tabs>
        <w:spacing w:before="11"/>
        <w:rPr>
          <w:i/>
          <w:sz w:val="14"/>
        </w:rPr>
      </w:pPr>
    </w:p>
    <w:p w:rsidR="00AD4FF4" w:rsidRDefault="00AD4FF4">
      <w:pPr>
        <w:spacing w:before="0"/>
        <w:rPr>
          <w:i/>
          <w:sz w:val="14"/>
        </w:rPr>
      </w:pPr>
      <w:r>
        <w:rPr>
          <w:i/>
          <w:sz w:val="14"/>
        </w:rPr>
        <w:br w:type="page"/>
      </w:r>
    </w:p>
    <w:p w:rsidR="00634352" w:rsidRPr="00634352" w:rsidRDefault="00634352" w:rsidP="00634352">
      <w:pPr>
        <w:pStyle w:val="Caption"/>
      </w:pPr>
      <w:bookmarkStart w:id="39" w:name="_Toc496019881"/>
      <w:r>
        <w:lastRenderedPageBreak/>
        <w:t xml:space="preserve">Table </w:t>
      </w:r>
      <w:r>
        <w:fldChar w:fldCharType="begin"/>
      </w:r>
      <w:r>
        <w:instrText xml:space="preserve"> SEQ Table \* ARABIC </w:instrText>
      </w:r>
      <w:r>
        <w:fldChar w:fldCharType="separate"/>
      </w:r>
      <w:r w:rsidR="00DF01C3">
        <w:rPr>
          <w:noProof/>
        </w:rPr>
        <w:t>3</w:t>
      </w:r>
      <w:r>
        <w:fldChar w:fldCharType="end"/>
      </w:r>
      <w:r>
        <w:t xml:space="preserve"> Child death notifications to the Commission in 2016-17 by Aboriginal status and age</w:t>
      </w:r>
      <w:bookmarkEnd w:id="39"/>
    </w:p>
    <w:tbl>
      <w:tblPr>
        <w:tblStyle w:val="LightList-Accent1"/>
        <w:tblW w:w="9633" w:type="dxa"/>
        <w:tblLayout w:type="fixed"/>
        <w:tblLook w:val="01E0" w:firstRow="1" w:lastRow="1" w:firstColumn="1" w:lastColumn="1" w:noHBand="0" w:noVBand="0"/>
      </w:tblPr>
      <w:tblGrid>
        <w:gridCol w:w="2121"/>
        <w:gridCol w:w="1687"/>
        <w:gridCol w:w="2279"/>
        <w:gridCol w:w="1719"/>
        <w:gridCol w:w="1827"/>
      </w:tblGrid>
      <w:tr w:rsidR="00F20AFE" w:rsidRPr="00634352" w:rsidTr="0063435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1" w:type="dxa"/>
          </w:tcPr>
          <w:p w:rsidR="007A01BD" w:rsidRPr="00634352" w:rsidRDefault="00F82531" w:rsidP="00634352">
            <w:r w:rsidRPr="00634352">
              <w:t>Child’s age at death</w:t>
            </w:r>
          </w:p>
        </w:tc>
        <w:tc>
          <w:tcPr>
            <w:cnfStyle w:val="000010000000" w:firstRow="0" w:lastRow="0" w:firstColumn="0" w:lastColumn="0" w:oddVBand="1" w:evenVBand="0" w:oddHBand="0" w:evenHBand="0" w:firstRowFirstColumn="0" w:firstRowLastColumn="0" w:lastRowFirstColumn="0" w:lastRowLastColumn="0"/>
            <w:tcW w:w="1687" w:type="dxa"/>
          </w:tcPr>
          <w:p w:rsidR="007A01BD" w:rsidRPr="00634352" w:rsidRDefault="00F82531" w:rsidP="00634352">
            <w:r w:rsidRPr="00634352">
              <w:t>Aboriginal</w:t>
            </w:r>
          </w:p>
        </w:tc>
        <w:tc>
          <w:tcPr>
            <w:tcW w:w="2279" w:type="dxa"/>
          </w:tcPr>
          <w:p w:rsidR="007A01BD" w:rsidRPr="00634352" w:rsidRDefault="00F82531" w:rsidP="00634352">
            <w:pPr>
              <w:cnfStyle w:val="100000000000" w:firstRow="1" w:lastRow="0" w:firstColumn="0" w:lastColumn="0" w:oddVBand="0" w:evenVBand="0" w:oddHBand="0" w:evenHBand="0" w:firstRowFirstColumn="0" w:firstRowLastColumn="0" w:lastRowFirstColumn="0" w:lastRowLastColumn="0"/>
            </w:pPr>
            <w:r w:rsidRPr="00634352">
              <w:t>Non-Aboriginal</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634352" w:rsidRDefault="00F82531" w:rsidP="00634352">
            <w:r w:rsidRPr="00634352">
              <w:t>Total</w:t>
            </w:r>
          </w:p>
        </w:tc>
        <w:tc>
          <w:tcPr>
            <w:cnfStyle w:val="000100000000" w:firstRow="0" w:lastRow="0" w:firstColumn="0" w:lastColumn="1" w:oddVBand="0" w:evenVBand="0" w:oddHBand="0" w:evenHBand="0" w:firstRowFirstColumn="0" w:firstRowLastColumn="0" w:lastRowFirstColumn="0" w:lastRowLastColumn="0"/>
            <w:tcW w:w="1827" w:type="dxa"/>
          </w:tcPr>
          <w:p w:rsidR="007A01BD" w:rsidRPr="00634352" w:rsidRDefault="00F82531" w:rsidP="00634352">
            <w:r w:rsidRPr="00634352">
              <w:t>Per cent</w:t>
            </w:r>
          </w:p>
        </w:tc>
      </w:tr>
      <w:tr w:rsidR="00F20AFE" w:rsidRPr="00634352" w:rsidTr="006343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21" w:type="dxa"/>
          </w:tcPr>
          <w:p w:rsidR="007A01BD" w:rsidRPr="00634352" w:rsidRDefault="00F82531" w:rsidP="00634352">
            <w:r w:rsidRPr="00634352">
              <w:t>0–5 months</w:t>
            </w:r>
          </w:p>
        </w:tc>
        <w:tc>
          <w:tcPr>
            <w:cnfStyle w:val="000010000000" w:firstRow="0" w:lastRow="0" w:firstColumn="0" w:lastColumn="0" w:oddVBand="1" w:evenVBand="0" w:oddHBand="0" w:evenHBand="0" w:firstRowFirstColumn="0" w:firstRowLastColumn="0" w:lastRowFirstColumn="0" w:lastRowLastColumn="0"/>
            <w:tcW w:w="1687" w:type="dxa"/>
          </w:tcPr>
          <w:p w:rsidR="007A01BD" w:rsidRPr="00634352" w:rsidRDefault="00F82531" w:rsidP="00634352">
            <w:r w:rsidRPr="00634352">
              <w:t>1</w:t>
            </w:r>
          </w:p>
        </w:tc>
        <w:tc>
          <w:tcPr>
            <w:tcW w:w="2279" w:type="dxa"/>
          </w:tcPr>
          <w:p w:rsidR="007A01BD" w:rsidRPr="00634352" w:rsidRDefault="00F82531" w:rsidP="00634352">
            <w:pPr>
              <w:cnfStyle w:val="000000100000" w:firstRow="0" w:lastRow="0" w:firstColumn="0" w:lastColumn="0" w:oddVBand="0" w:evenVBand="0" w:oddHBand="1" w:evenHBand="0" w:firstRowFirstColumn="0" w:firstRowLastColumn="0" w:lastRowFirstColumn="0" w:lastRowLastColumn="0"/>
            </w:pPr>
            <w:r w:rsidRPr="00634352">
              <w:t>12</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634352" w:rsidRDefault="00F82531" w:rsidP="00634352">
            <w:r w:rsidRPr="00634352">
              <w:t>13</w:t>
            </w:r>
          </w:p>
        </w:tc>
        <w:tc>
          <w:tcPr>
            <w:cnfStyle w:val="000100000000" w:firstRow="0" w:lastRow="0" w:firstColumn="0" w:lastColumn="1" w:oddVBand="0" w:evenVBand="0" w:oddHBand="0" w:evenHBand="0" w:firstRowFirstColumn="0" w:firstRowLastColumn="0" w:lastRowFirstColumn="0" w:lastRowLastColumn="0"/>
            <w:tcW w:w="1827" w:type="dxa"/>
          </w:tcPr>
          <w:p w:rsidR="007A01BD" w:rsidRPr="00634352" w:rsidRDefault="00F82531" w:rsidP="00634352">
            <w:r w:rsidRPr="00634352">
              <w:t>36.1</w:t>
            </w:r>
          </w:p>
        </w:tc>
      </w:tr>
      <w:tr w:rsidR="00F20AFE" w:rsidRPr="00634352" w:rsidTr="00634352">
        <w:trPr>
          <w:trHeight w:val="440"/>
        </w:trPr>
        <w:tc>
          <w:tcPr>
            <w:cnfStyle w:val="001000000000" w:firstRow="0" w:lastRow="0" w:firstColumn="1" w:lastColumn="0" w:oddVBand="0" w:evenVBand="0" w:oddHBand="0" w:evenHBand="0" w:firstRowFirstColumn="0" w:firstRowLastColumn="0" w:lastRowFirstColumn="0" w:lastRowLastColumn="0"/>
            <w:tcW w:w="2121" w:type="dxa"/>
          </w:tcPr>
          <w:p w:rsidR="007A01BD" w:rsidRPr="00634352" w:rsidRDefault="00F82531" w:rsidP="00634352">
            <w:r w:rsidRPr="00634352">
              <w:t>6–11 months</w:t>
            </w:r>
          </w:p>
        </w:tc>
        <w:tc>
          <w:tcPr>
            <w:cnfStyle w:val="000010000000" w:firstRow="0" w:lastRow="0" w:firstColumn="0" w:lastColumn="0" w:oddVBand="1" w:evenVBand="0" w:oddHBand="0" w:evenHBand="0" w:firstRowFirstColumn="0" w:firstRowLastColumn="0" w:lastRowFirstColumn="0" w:lastRowLastColumn="0"/>
            <w:tcW w:w="1687" w:type="dxa"/>
          </w:tcPr>
          <w:p w:rsidR="007A01BD" w:rsidRPr="00634352" w:rsidRDefault="00F82531" w:rsidP="00634352">
            <w:r w:rsidRPr="00634352">
              <w:t>1</w:t>
            </w:r>
          </w:p>
        </w:tc>
        <w:tc>
          <w:tcPr>
            <w:tcW w:w="2279" w:type="dxa"/>
          </w:tcPr>
          <w:p w:rsidR="007A01BD" w:rsidRPr="00634352" w:rsidRDefault="00F82531" w:rsidP="00634352">
            <w:pPr>
              <w:cnfStyle w:val="000000000000" w:firstRow="0" w:lastRow="0" w:firstColumn="0" w:lastColumn="0" w:oddVBand="0" w:evenVBand="0" w:oddHBand="0" w:evenHBand="0" w:firstRowFirstColumn="0" w:firstRowLastColumn="0" w:lastRowFirstColumn="0" w:lastRowLastColumn="0"/>
            </w:pPr>
            <w:r w:rsidRPr="00634352">
              <w:t>1</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634352" w:rsidRDefault="00F82531" w:rsidP="00634352">
            <w:r w:rsidRPr="00634352">
              <w:t>2</w:t>
            </w:r>
          </w:p>
        </w:tc>
        <w:tc>
          <w:tcPr>
            <w:cnfStyle w:val="000100000000" w:firstRow="0" w:lastRow="0" w:firstColumn="0" w:lastColumn="1" w:oddVBand="0" w:evenVBand="0" w:oddHBand="0" w:evenHBand="0" w:firstRowFirstColumn="0" w:firstRowLastColumn="0" w:lastRowFirstColumn="0" w:lastRowLastColumn="0"/>
            <w:tcW w:w="1827" w:type="dxa"/>
          </w:tcPr>
          <w:p w:rsidR="007A01BD" w:rsidRPr="00634352" w:rsidRDefault="00F82531" w:rsidP="00634352">
            <w:r w:rsidRPr="00634352">
              <w:t>5.5</w:t>
            </w:r>
          </w:p>
        </w:tc>
      </w:tr>
      <w:tr w:rsidR="00F20AFE" w:rsidRPr="00634352" w:rsidTr="0063435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21" w:type="dxa"/>
          </w:tcPr>
          <w:p w:rsidR="007A01BD" w:rsidRPr="00634352" w:rsidRDefault="00F82531" w:rsidP="00634352">
            <w:r w:rsidRPr="00634352">
              <w:t>1–3 years</w:t>
            </w:r>
          </w:p>
        </w:tc>
        <w:tc>
          <w:tcPr>
            <w:cnfStyle w:val="000010000000" w:firstRow="0" w:lastRow="0" w:firstColumn="0" w:lastColumn="0" w:oddVBand="1" w:evenVBand="0" w:oddHBand="0" w:evenHBand="0" w:firstRowFirstColumn="0" w:firstRowLastColumn="0" w:lastRowFirstColumn="0" w:lastRowLastColumn="0"/>
            <w:tcW w:w="1687" w:type="dxa"/>
          </w:tcPr>
          <w:p w:rsidR="007A01BD" w:rsidRPr="00634352" w:rsidRDefault="00F82531" w:rsidP="00634352">
            <w:r w:rsidRPr="00634352">
              <w:t>0</w:t>
            </w:r>
          </w:p>
        </w:tc>
        <w:tc>
          <w:tcPr>
            <w:tcW w:w="2279" w:type="dxa"/>
          </w:tcPr>
          <w:p w:rsidR="007A01BD" w:rsidRPr="00634352" w:rsidRDefault="00F82531" w:rsidP="00634352">
            <w:pPr>
              <w:cnfStyle w:val="000000100000" w:firstRow="0" w:lastRow="0" w:firstColumn="0" w:lastColumn="0" w:oddVBand="0" w:evenVBand="0" w:oddHBand="1" w:evenHBand="0" w:firstRowFirstColumn="0" w:firstRowLastColumn="0" w:lastRowFirstColumn="0" w:lastRowLastColumn="0"/>
            </w:pPr>
            <w:r w:rsidRPr="00634352">
              <w:t>5</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634352" w:rsidRDefault="00F82531" w:rsidP="00634352">
            <w:r w:rsidRPr="00634352">
              <w:t>5</w:t>
            </w:r>
          </w:p>
        </w:tc>
        <w:tc>
          <w:tcPr>
            <w:cnfStyle w:val="000100000000" w:firstRow="0" w:lastRow="0" w:firstColumn="0" w:lastColumn="1" w:oddVBand="0" w:evenVBand="0" w:oddHBand="0" w:evenHBand="0" w:firstRowFirstColumn="0" w:firstRowLastColumn="0" w:lastRowFirstColumn="0" w:lastRowLastColumn="0"/>
            <w:tcW w:w="1827" w:type="dxa"/>
          </w:tcPr>
          <w:p w:rsidR="007A01BD" w:rsidRPr="00634352" w:rsidRDefault="00F82531" w:rsidP="00634352">
            <w:r w:rsidRPr="00634352">
              <w:t>13.9</w:t>
            </w:r>
          </w:p>
        </w:tc>
      </w:tr>
      <w:tr w:rsidR="00F20AFE" w:rsidRPr="00634352" w:rsidTr="00634352">
        <w:trPr>
          <w:trHeight w:val="440"/>
        </w:trPr>
        <w:tc>
          <w:tcPr>
            <w:cnfStyle w:val="001000000000" w:firstRow="0" w:lastRow="0" w:firstColumn="1" w:lastColumn="0" w:oddVBand="0" w:evenVBand="0" w:oddHBand="0" w:evenHBand="0" w:firstRowFirstColumn="0" w:firstRowLastColumn="0" w:lastRowFirstColumn="0" w:lastRowLastColumn="0"/>
            <w:tcW w:w="2121" w:type="dxa"/>
          </w:tcPr>
          <w:p w:rsidR="007A01BD" w:rsidRPr="00634352" w:rsidRDefault="00F82531" w:rsidP="00634352">
            <w:r w:rsidRPr="00634352">
              <w:t>4–12 years</w:t>
            </w:r>
          </w:p>
        </w:tc>
        <w:tc>
          <w:tcPr>
            <w:cnfStyle w:val="000010000000" w:firstRow="0" w:lastRow="0" w:firstColumn="0" w:lastColumn="0" w:oddVBand="1" w:evenVBand="0" w:oddHBand="0" w:evenHBand="0" w:firstRowFirstColumn="0" w:firstRowLastColumn="0" w:lastRowFirstColumn="0" w:lastRowLastColumn="0"/>
            <w:tcW w:w="1687" w:type="dxa"/>
          </w:tcPr>
          <w:p w:rsidR="007A01BD" w:rsidRPr="00634352" w:rsidRDefault="00F82531" w:rsidP="00634352">
            <w:r w:rsidRPr="00634352">
              <w:t>0</w:t>
            </w:r>
          </w:p>
        </w:tc>
        <w:tc>
          <w:tcPr>
            <w:tcW w:w="2279" w:type="dxa"/>
          </w:tcPr>
          <w:p w:rsidR="007A01BD" w:rsidRPr="00634352" w:rsidRDefault="00F82531" w:rsidP="00634352">
            <w:pPr>
              <w:cnfStyle w:val="000000000000" w:firstRow="0" w:lastRow="0" w:firstColumn="0" w:lastColumn="0" w:oddVBand="0" w:evenVBand="0" w:oddHBand="0" w:evenHBand="0" w:firstRowFirstColumn="0" w:firstRowLastColumn="0" w:lastRowFirstColumn="0" w:lastRowLastColumn="0"/>
            </w:pPr>
            <w:r w:rsidRPr="00634352">
              <w:t>5</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634352" w:rsidRDefault="00F82531" w:rsidP="00634352">
            <w:r w:rsidRPr="00634352">
              <w:t>5</w:t>
            </w:r>
          </w:p>
        </w:tc>
        <w:tc>
          <w:tcPr>
            <w:cnfStyle w:val="000100000000" w:firstRow="0" w:lastRow="0" w:firstColumn="0" w:lastColumn="1" w:oddVBand="0" w:evenVBand="0" w:oddHBand="0" w:evenHBand="0" w:firstRowFirstColumn="0" w:firstRowLastColumn="0" w:lastRowFirstColumn="0" w:lastRowLastColumn="0"/>
            <w:tcW w:w="1827" w:type="dxa"/>
          </w:tcPr>
          <w:p w:rsidR="007A01BD" w:rsidRPr="00634352" w:rsidRDefault="00F82531" w:rsidP="00634352">
            <w:r w:rsidRPr="00634352">
              <w:t>13.8</w:t>
            </w:r>
          </w:p>
        </w:tc>
      </w:tr>
      <w:tr w:rsidR="00F20AFE" w:rsidRPr="00634352" w:rsidTr="0063435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21" w:type="dxa"/>
          </w:tcPr>
          <w:p w:rsidR="007A01BD" w:rsidRPr="00634352" w:rsidRDefault="00F82531" w:rsidP="00634352">
            <w:r w:rsidRPr="00634352">
              <w:t>13–17 years</w:t>
            </w:r>
          </w:p>
        </w:tc>
        <w:tc>
          <w:tcPr>
            <w:cnfStyle w:val="000010000000" w:firstRow="0" w:lastRow="0" w:firstColumn="0" w:lastColumn="0" w:oddVBand="1" w:evenVBand="0" w:oddHBand="0" w:evenHBand="0" w:firstRowFirstColumn="0" w:firstRowLastColumn="0" w:lastRowFirstColumn="0" w:lastRowLastColumn="0"/>
            <w:tcW w:w="1687" w:type="dxa"/>
          </w:tcPr>
          <w:p w:rsidR="007A01BD" w:rsidRPr="00634352" w:rsidRDefault="00F82531" w:rsidP="00634352">
            <w:r w:rsidRPr="00634352">
              <w:t>2</w:t>
            </w:r>
          </w:p>
        </w:tc>
        <w:tc>
          <w:tcPr>
            <w:tcW w:w="2279" w:type="dxa"/>
          </w:tcPr>
          <w:p w:rsidR="007A01BD" w:rsidRPr="00634352" w:rsidRDefault="00F82531" w:rsidP="00634352">
            <w:pPr>
              <w:cnfStyle w:val="000000100000" w:firstRow="0" w:lastRow="0" w:firstColumn="0" w:lastColumn="0" w:oddVBand="0" w:evenVBand="0" w:oddHBand="1" w:evenHBand="0" w:firstRowFirstColumn="0" w:firstRowLastColumn="0" w:lastRowFirstColumn="0" w:lastRowLastColumn="0"/>
            </w:pPr>
            <w:r w:rsidRPr="00634352">
              <w:t>9</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634352" w:rsidRDefault="00F82531" w:rsidP="00634352">
            <w:r w:rsidRPr="00634352">
              <w:t>11</w:t>
            </w:r>
          </w:p>
        </w:tc>
        <w:tc>
          <w:tcPr>
            <w:cnfStyle w:val="000100000000" w:firstRow="0" w:lastRow="0" w:firstColumn="0" w:lastColumn="1" w:oddVBand="0" w:evenVBand="0" w:oddHBand="0" w:evenHBand="0" w:firstRowFirstColumn="0" w:firstRowLastColumn="0" w:lastRowFirstColumn="0" w:lastRowLastColumn="0"/>
            <w:tcW w:w="1827" w:type="dxa"/>
          </w:tcPr>
          <w:p w:rsidR="007A01BD" w:rsidRPr="00634352" w:rsidRDefault="00F82531" w:rsidP="00634352">
            <w:r w:rsidRPr="00634352">
              <w:t>30.6</w:t>
            </w:r>
          </w:p>
        </w:tc>
      </w:tr>
      <w:tr w:rsidR="00F20AFE" w:rsidRPr="00634352" w:rsidTr="00634352">
        <w:trPr>
          <w:trHeight w:val="480"/>
        </w:trPr>
        <w:tc>
          <w:tcPr>
            <w:cnfStyle w:val="001000000000" w:firstRow="0" w:lastRow="0" w:firstColumn="1" w:lastColumn="0" w:oddVBand="0" w:evenVBand="0" w:oddHBand="0" w:evenHBand="0" w:firstRowFirstColumn="0" w:firstRowLastColumn="0" w:lastRowFirstColumn="0" w:lastRowLastColumn="0"/>
            <w:tcW w:w="2121" w:type="dxa"/>
          </w:tcPr>
          <w:p w:rsidR="007A01BD" w:rsidRPr="00634352" w:rsidRDefault="00F82531" w:rsidP="00634352">
            <w:r w:rsidRPr="00634352">
              <w:t>Total</w:t>
            </w:r>
          </w:p>
        </w:tc>
        <w:tc>
          <w:tcPr>
            <w:cnfStyle w:val="000010000000" w:firstRow="0" w:lastRow="0" w:firstColumn="0" w:lastColumn="0" w:oddVBand="1" w:evenVBand="0" w:oddHBand="0" w:evenHBand="0" w:firstRowFirstColumn="0" w:firstRowLastColumn="0" w:lastRowFirstColumn="0" w:lastRowLastColumn="0"/>
            <w:tcW w:w="1687" w:type="dxa"/>
          </w:tcPr>
          <w:p w:rsidR="007A01BD" w:rsidRPr="00634352" w:rsidRDefault="00F82531" w:rsidP="00634352">
            <w:r w:rsidRPr="00634352">
              <w:t>4</w:t>
            </w:r>
          </w:p>
        </w:tc>
        <w:tc>
          <w:tcPr>
            <w:tcW w:w="2279" w:type="dxa"/>
          </w:tcPr>
          <w:p w:rsidR="007A01BD" w:rsidRPr="00634352" w:rsidRDefault="00F82531" w:rsidP="00634352">
            <w:pPr>
              <w:cnfStyle w:val="000000000000" w:firstRow="0" w:lastRow="0" w:firstColumn="0" w:lastColumn="0" w:oddVBand="0" w:evenVBand="0" w:oddHBand="0" w:evenHBand="0" w:firstRowFirstColumn="0" w:firstRowLastColumn="0" w:lastRowFirstColumn="0" w:lastRowLastColumn="0"/>
            </w:pPr>
            <w:r w:rsidRPr="00634352">
              <w:t>32</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634352" w:rsidRDefault="00F82531" w:rsidP="00634352">
            <w:r w:rsidRPr="00634352">
              <w:t>36</w:t>
            </w:r>
          </w:p>
        </w:tc>
        <w:tc>
          <w:tcPr>
            <w:cnfStyle w:val="000100000000" w:firstRow="0" w:lastRow="0" w:firstColumn="0" w:lastColumn="1" w:oddVBand="0" w:evenVBand="0" w:oddHBand="0" w:evenHBand="0" w:firstRowFirstColumn="0" w:firstRowLastColumn="0" w:lastRowFirstColumn="0" w:lastRowLastColumn="0"/>
            <w:tcW w:w="1827" w:type="dxa"/>
          </w:tcPr>
          <w:p w:rsidR="007A01BD" w:rsidRPr="00634352" w:rsidRDefault="00F82531" w:rsidP="00634352">
            <w:r w:rsidRPr="00634352">
              <w:t>100</w:t>
            </w:r>
          </w:p>
        </w:tc>
      </w:tr>
      <w:tr w:rsidR="00F20AFE" w:rsidRPr="00634352" w:rsidTr="00634352">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1" w:type="dxa"/>
          </w:tcPr>
          <w:p w:rsidR="007A01BD" w:rsidRPr="00634352" w:rsidRDefault="00F82531" w:rsidP="00634352">
            <w:r w:rsidRPr="00634352">
              <w:t>Per cent</w:t>
            </w:r>
          </w:p>
        </w:tc>
        <w:tc>
          <w:tcPr>
            <w:cnfStyle w:val="000010000000" w:firstRow="0" w:lastRow="0" w:firstColumn="0" w:lastColumn="0" w:oddVBand="1" w:evenVBand="0" w:oddHBand="0" w:evenHBand="0" w:firstRowFirstColumn="0" w:firstRowLastColumn="0" w:lastRowFirstColumn="0" w:lastRowLastColumn="0"/>
            <w:tcW w:w="1687" w:type="dxa"/>
          </w:tcPr>
          <w:p w:rsidR="007A01BD" w:rsidRPr="00634352" w:rsidRDefault="00F82531" w:rsidP="00634352">
            <w:r w:rsidRPr="00634352">
              <w:t>11.1</w:t>
            </w:r>
          </w:p>
        </w:tc>
        <w:tc>
          <w:tcPr>
            <w:tcW w:w="2279" w:type="dxa"/>
          </w:tcPr>
          <w:p w:rsidR="007A01BD" w:rsidRPr="00634352" w:rsidRDefault="00F82531" w:rsidP="00634352">
            <w:pPr>
              <w:cnfStyle w:val="010000000000" w:firstRow="0" w:lastRow="1" w:firstColumn="0" w:lastColumn="0" w:oddVBand="0" w:evenVBand="0" w:oddHBand="0" w:evenHBand="0" w:firstRowFirstColumn="0" w:firstRowLastColumn="0" w:lastRowFirstColumn="0" w:lastRowLastColumn="0"/>
            </w:pPr>
            <w:r w:rsidRPr="00634352">
              <w:t>88.9</w:t>
            </w:r>
          </w:p>
        </w:tc>
        <w:tc>
          <w:tcPr>
            <w:cnfStyle w:val="000010000000" w:firstRow="0" w:lastRow="0" w:firstColumn="0" w:lastColumn="0" w:oddVBand="1" w:evenVBand="0" w:oddHBand="0" w:evenHBand="0" w:firstRowFirstColumn="0" w:firstRowLastColumn="0" w:lastRowFirstColumn="0" w:lastRowLastColumn="0"/>
            <w:tcW w:w="1719" w:type="dxa"/>
          </w:tcPr>
          <w:p w:rsidR="007A01BD" w:rsidRPr="00634352" w:rsidRDefault="007A01BD" w:rsidP="00634352"/>
        </w:tc>
        <w:tc>
          <w:tcPr>
            <w:cnfStyle w:val="000100000000" w:firstRow="0" w:lastRow="0" w:firstColumn="0" w:lastColumn="1" w:oddVBand="0" w:evenVBand="0" w:oddHBand="0" w:evenHBand="0" w:firstRowFirstColumn="0" w:firstRowLastColumn="0" w:lastRowFirstColumn="0" w:lastRowLastColumn="0"/>
            <w:tcW w:w="1827" w:type="dxa"/>
          </w:tcPr>
          <w:p w:rsidR="007A01BD" w:rsidRPr="00634352" w:rsidRDefault="007A01BD" w:rsidP="00634352"/>
        </w:tc>
      </w:tr>
    </w:tbl>
    <w:p w:rsidR="007A01BD" w:rsidRPr="003F6306" w:rsidRDefault="00F82531" w:rsidP="00F20AFE">
      <w:pPr>
        <w:pStyle w:val="Heading3"/>
      </w:pPr>
      <w:r w:rsidRPr="003F6306">
        <w:t>Child death notifications received by the Commission for the last five financial years</w:t>
      </w:r>
    </w:p>
    <w:p w:rsidR="00AD4FF4" w:rsidRDefault="00AD4FF4" w:rsidP="00AD4FF4">
      <w:r w:rsidRPr="003F6306">
        <w:t>Consistent with previous years, most children who died after being involved with Child Protection were infants aged 0–5 months (36 per cent) or adolescents aged 13–17 years (31 per cent) (Tables 4 and 5).</w:t>
      </w:r>
      <w:r w:rsidR="008A1207">
        <w:br/>
      </w:r>
    </w:p>
    <w:p w:rsidR="007A01BD" w:rsidRPr="008A1207" w:rsidRDefault="008A1207" w:rsidP="008A1207">
      <w:pPr>
        <w:pStyle w:val="Caption"/>
      </w:pPr>
      <w:bookmarkStart w:id="40" w:name="_Toc496019882"/>
      <w:r>
        <w:t xml:space="preserve">Table </w:t>
      </w:r>
      <w:r>
        <w:fldChar w:fldCharType="begin"/>
      </w:r>
      <w:r>
        <w:instrText xml:space="preserve"> SEQ Table \* ARABIC </w:instrText>
      </w:r>
      <w:r>
        <w:fldChar w:fldCharType="separate"/>
      </w:r>
      <w:r w:rsidR="00DF01C3">
        <w:rPr>
          <w:noProof/>
        </w:rPr>
        <w:t>4</w:t>
      </w:r>
      <w:r>
        <w:fldChar w:fldCharType="end"/>
      </w:r>
      <w:r>
        <w:t xml:space="preserve"> Child death notifications received by the Commission 2012-17 by category of death</w:t>
      </w:r>
      <w:bookmarkEnd w:id="40"/>
    </w:p>
    <w:tbl>
      <w:tblPr>
        <w:tblStyle w:val="LightList-Accent1"/>
        <w:tblW w:w="9397" w:type="dxa"/>
        <w:tblLayout w:type="fixed"/>
        <w:tblLook w:val="01E0" w:firstRow="1" w:lastRow="1" w:firstColumn="1" w:lastColumn="1" w:noHBand="0" w:noVBand="0"/>
      </w:tblPr>
      <w:tblGrid>
        <w:gridCol w:w="2223"/>
        <w:gridCol w:w="1188"/>
        <w:gridCol w:w="1167"/>
        <w:gridCol w:w="1193"/>
        <w:gridCol w:w="1245"/>
        <w:gridCol w:w="1245"/>
        <w:gridCol w:w="1136"/>
      </w:tblGrid>
      <w:tr w:rsidR="00D31FB8" w:rsidRPr="00AD4FF4" w:rsidTr="00D31FB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D31FB8">
            <w:r w:rsidRPr="00AD4FF4">
              <w:t>Category of death</w:t>
            </w:r>
            <w:r>
              <w:rPr>
                <w:rStyle w:val="FootnoteReference"/>
              </w:rPr>
              <w:footnoteReference w:id="4"/>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2012–13</w:t>
            </w:r>
          </w:p>
        </w:tc>
        <w:tc>
          <w:tcPr>
            <w:tcW w:w="1167" w:type="dxa"/>
          </w:tcPr>
          <w:p w:rsidR="00D31FB8" w:rsidRPr="00AD4FF4" w:rsidRDefault="00D31FB8" w:rsidP="00AD4FF4">
            <w:pPr>
              <w:cnfStyle w:val="100000000000" w:firstRow="1" w:lastRow="0" w:firstColumn="0" w:lastColumn="0" w:oddVBand="0" w:evenVBand="0" w:oddHBand="0" w:evenHBand="0" w:firstRowFirstColumn="0" w:firstRowLastColumn="0" w:lastRowFirstColumn="0" w:lastRowLastColumn="0"/>
            </w:pPr>
            <w:r w:rsidRPr="00AD4FF4">
              <w:t>2013–14</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2014–15</w:t>
            </w:r>
          </w:p>
        </w:tc>
        <w:tc>
          <w:tcPr>
            <w:tcW w:w="1245" w:type="dxa"/>
          </w:tcPr>
          <w:p w:rsidR="00D31FB8" w:rsidRPr="00AD4FF4" w:rsidRDefault="00D31FB8" w:rsidP="00AD4FF4">
            <w:pPr>
              <w:cnfStyle w:val="100000000000" w:firstRow="1" w:lastRow="0" w:firstColumn="0" w:lastColumn="0" w:oddVBand="0" w:evenVBand="0" w:oddHBand="0" w:evenHBand="0" w:firstRowFirstColumn="0" w:firstRowLastColumn="0" w:lastRowFirstColumn="0" w:lastRowLastColumn="0"/>
            </w:pPr>
            <w:r w:rsidRPr="00AD4FF4">
              <w:t>2015–16</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2016–17</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Total</w:t>
            </w:r>
          </w:p>
        </w:tc>
      </w:tr>
      <w:tr w:rsidR="00D31FB8" w:rsidRPr="00AD4FF4" w:rsidTr="00D31FB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AD4FF4">
            <w:r w:rsidRPr="00AD4FF4">
              <w:t>Illness</w:t>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12</w:t>
            </w:r>
          </w:p>
        </w:tc>
        <w:tc>
          <w:tcPr>
            <w:tcW w:w="1167" w:type="dxa"/>
          </w:tcPr>
          <w:p w:rsidR="00D31FB8" w:rsidRPr="00AD4FF4" w:rsidRDefault="00D31FB8" w:rsidP="00AD4FF4">
            <w:pPr>
              <w:cnfStyle w:val="000000100000" w:firstRow="0" w:lastRow="0" w:firstColumn="0" w:lastColumn="0" w:oddVBand="0" w:evenVBand="0" w:oddHBand="1" w:evenHBand="0" w:firstRowFirstColumn="0" w:firstRowLastColumn="0" w:lastRowFirstColumn="0" w:lastRowLastColumn="0"/>
            </w:pPr>
            <w:r w:rsidRPr="00AD4FF4">
              <w:t>12</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15</w:t>
            </w:r>
          </w:p>
        </w:tc>
        <w:tc>
          <w:tcPr>
            <w:tcW w:w="1245" w:type="dxa"/>
          </w:tcPr>
          <w:p w:rsidR="00D31FB8" w:rsidRPr="00AD4FF4" w:rsidRDefault="00D31FB8" w:rsidP="00AD4FF4">
            <w:pPr>
              <w:cnfStyle w:val="000000100000" w:firstRow="0" w:lastRow="0" w:firstColumn="0" w:lastColumn="0" w:oddVBand="0" w:evenVBand="0" w:oddHBand="1" w:evenHBand="0" w:firstRowFirstColumn="0" w:firstRowLastColumn="0" w:lastRowFirstColumn="0" w:lastRowLastColumn="0"/>
            </w:pPr>
            <w:r w:rsidRPr="00AD4FF4">
              <w:t>13</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13</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65</w:t>
            </w:r>
          </w:p>
        </w:tc>
      </w:tr>
      <w:tr w:rsidR="00D31FB8" w:rsidRPr="00AD4FF4" w:rsidTr="00D31FB8">
        <w:trPr>
          <w:trHeight w:val="40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AD4FF4">
            <w:r w:rsidRPr="00AD4FF4">
              <w:t>Accident</w:t>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6</w:t>
            </w:r>
          </w:p>
        </w:tc>
        <w:tc>
          <w:tcPr>
            <w:tcW w:w="1167" w:type="dxa"/>
          </w:tcPr>
          <w:p w:rsidR="00D31FB8" w:rsidRPr="00AD4FF4" w:rsidRDefault="00D31FB8" w:rsidP="00AD4FF4">
            <w:pPr>
              <w:cnfStyle w:val="000000000000" w:firstRow="0" w:lastRow="0" w:firstColumn="0" w:lastColumn="0" w:oddVBand="0" w:evenVBand="0" w:oddHBand="0" w:evenHBand="0" w:firstRowFirstColumn="0" w:firstRowLastColumn="0" w:lastRowFirstColumn="0" w:lastRowLastColumn="0"/>
            </w:pPr>
            <w:r w:rsidRPr="00AD4FF4">
              <w:t>3</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3</w:t>
            </w:r>
          </w:p>
        </w:tc>
        <w:tc>
          <w:tcPr>
            <w:tcW w:w="1245" w:type="dxa"/>
          </w:tcPr>
          <w:p w:rsidR="00D31FB8" w:rsidRPr="00AD4FF4" w:rsidRDefault="00D31FB8" w:rsidP="00AD4FF4">
            <w:pPr>
              <w:cnfStyle w:val="000000000000" w:firstRow="0" w:lastRow="0" w:firstColumn="0" w:lastColumn="0" w:oddVBand="0" w:evenVBand="0" w:oddHBand="0" w:evenHBand="0" w:firstRowFirstColumn="0" w:firstRowLastColumn="0" w:lastRowFirstColumn="0" w:lastRowLastColumn="0"/>
            </w:pPr>
            <w:r w:rsidRPr="00AD4FF4">
              <w:t>7</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6</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25</w:t>
            </w:r>
          </w:p>
        </w:tc>
      </w:tr>
      <w:tr w:rsidR="00D31FB8" w:rsidRPr="00AD4FF4" w:rsidTr="00D31FB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AD4FF4">
            <w:r w:rsidRPr="00AD4FF4">
              <w:t>Suicide/self-harm</w:t>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1</w:t>
            </w:r>
          </w:p>
        </w:tc>
        <w:tc>
          <w:tcPr>
            <w:tcW w:w="1167" w:type="dxa"/>
          </w:tcPr>
          <w:p w:rsidR="00D31FB8" w:rsidRPr="00AD4FF4" w:rsidRDefault="00D31FB8" w:rsidP="00AD4FF4">
            <w:pPr>
              <w:cnfStyle w:val="000000100000" w:firstRow="0" w:lastRow="0" w:firstColumn="0" w:lastColumn="0" w:oddVBand="0" w:evenVBand="0" w:oddHBand="1" w:evenHBand="0" w:firstRowFirstColumn="0" w:firstRowLastColumn="0" w:lastRowFirstColumn="0" w:lastRowLastColumn="0"/>
            </w:pPr>
            <w:r w:rsidRPr="00AD4FF4">
              <w:t>4</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4</w:t>
            </w:r>
          </w:p>
        </w:tc>
        <w:tc>
          <w:tcPr>
            <w:tcW w:w="1245" w:type="dxa"/>
          </w:tcPr>
          <w:p w:rsidR="00D31FB8" w:rsidRPr="00AD4FF4" w:rsidRDefault="00D31FB8" w:rsidP="00AD4FF4">
            <w:pPr>
              <w:cnfStyle w:val="000000100000" w:firstRow="0" w:lastRow="0" w:firstColumn="0" w:lastColumn="0" w:oddVBand="0" w:evenVBand="0" w:oddHBand="1" w:evenHBand="0" w:firstRowFirstColumn="0" w:firstRowLastColumn="0" w:lastRowFirstColumn="0" w:lastRowLastColumn="0"/>
            </w:pPr>
            <w:r w:rsidRPr="00AD4FF4">
              <w:t>5</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4</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18</w:t>
            </w:r>
          </w:p>
        </w:tc>
      </w:tr>
      <w:tr w:rsidR="00D31FB8" w:rsidRPr="00AD4FF4" w:rsidTr="00D31FB8">
        <w:trPr>
          <w:trHeight w:val="40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AD4FF4">
            <w:r w:rsidRPr="00AD4FF4">
              <w:t>Non-accidental trauma</w:t>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2</w:t>
            </w:r>
          </w:p>
        </w:tc>
        <w:tc>
          <w:tcPr>
            <w:tcW w:w="1167" w:type="dxa"/>
          </w:tcPr>
          <w:p w:rsidR="00D31FB8" w:rsidRPr="00AD4FF4" w:rsidRDefault="00D31FB8" w:rsidP="00AD4FF4">
            <w:pPr>
              <w:cnfStyle w:val="000000000000" w:firstRow="0" w:lastRow="0" w:firstColumn="0" w:lastColumn="0" w:oddVBand="0" w:evenVBand="0" w:oddHBand="0" w:evenHBand="0" w:firstRowFirstColumn="0" w:firstRowLastColumn="0" w:lastRowFirstColumn="0" w:lastRowLastColumn="0"/>
            </w:pPr>
            <w:r w:rsidRPr="00AD4FF4">
              <w:t>5</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1</w:t>
            </w:r>
          </w:p>
        </w:tc>
        <w:tc>
          <w:tcPr>
            <w:tcW w:w="1245" w:type="dxa"/>
          </w:tcPr>
          <w:p w:rsidR="00D31FB8" w:rsidRPr="00AD4FF4" w:rsidRDefault="00D31FB8" w:rsidP="00AD4FF4">
            <w:pPr>
              <w:cnfStyle w:val="000000000000" w:firstRow="0" w:lastRow="0" w:firstColumn="0" w:lastColumn="0" w:oddVBand="0" w:evenVBand="0" w:oddHBand="0" w:evenHBand="0" w:firstRowFirstColumn="0" w:firstRowLastColumn="0" w:lastRowFirstColumn="0" w:lastRowLastColumn="0"/>
            </w:pPr>
            <w:r w:rsidRPr="00AD4FF4">
              <w:t>6</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3</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17</w:t>
            </w:r>
          </w:p>
        </w:tc>
      </w:tr>
      <w:tr w:rsidR="00D31FB8" w:rsidRPr="00AD4FF4" w:rsidTr="00D31FB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D31FB8">
            <w:r w:rsidRPr="00AD4FF4">
              <w:t>Unascertained</w:t>
            </w:r>
            <w:r>
              <w:rPr>
                <w:rStyle w:val="FootnoteReference"/>
              </w:rPr>
              <w:footnoteReference w:id="5"/>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3</w:t>
            </w:r>
          </w:p>
        </w:tc>
        <w:tc>
          <w:tcPr>
            <w:tcW w:w="1167" w:type="dxa"/>
          </w:tcPr>
          <w:p w:rsidR="00D31FB8" w:rsidRPr="00AD4FF4" w:rsidRDefault="00D31FB8" w:rsidP="00AD4FF4">
            <w:pPr>
              <w:cnfStyle w:val="000000100000" w:firstRow="0" w:lastRow="0" w:firstColumn="0" w:lastColumn="0" w:oddVBand="0" w:evenVBand="0" w:oddHBand="1" w:evenHBand="0" w:firstRowFirstColumn="0" w:firstRowLastColumn="0" w:lastRowFirstColumn="0" w:lastRowLastColumn="0"/>
            </w:pPr>
            <w:r w:rsidRPr="00AD4FF4">
              <w:t>7</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0</w:t>
            </w:r>
          </w:p>
        </w:tc>
        <w:tc>
          <w:tcPr>
            <w:tcW w:w="1245" w:type="dxa"/>
          </w:tcPr>
          <w:p w:rsidR="00D31FB8" w:rsidRPr="00AD4FF4" w:rsidRDefault="00D31FB8" w:rsidP="00AD4FF4">
            <w:pPr>
              <w:cnfStyle w:val="000000100000" w:firstRow="0" w:lastRow="0" w:firstColumn="0" w:lastColumn="0" w:oddVBand="0" w:evenVBand="0" w:oddHBand="1" w:evenHBand="0" w:firstRowFirstColumn="0" w:firstRowLastColumn="0" w:lastRowFirstColumn="0" w:lastRowLastColumn="0"/>
            </w:pPr>
            <w:r w:rsidRPr="00AD4FF4">
              <w:t>2</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1</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13</w:t>
            </w:r>
          </w:p>
        </w:tc>
      </w:tr>
      <w:tr w:rsidR="00D31FB8" w:rsidRPr="00AD4FF4" w:rsidTr="00D31FB8">
        <w:trPr>
          <w:trHeight w:val="62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AD4FF4">
            <w:r w:rsidRPr="00AD4FF4">
              <w:t>Sudden unexpected death in infancy (SUDI)</w:t>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1</w:t>
            </w:r>
          </w:p>
        </w:tc>
        <w:tc>
          <w:tcPr>
            <w:tcW w:w="1167" w:type="dxa"/>
          </w:tcPr>
          <w:p w:rsidR="00D31FB8" w:rsidRPr="00AD4FF4" w:rsidRDefault="00D31FB8" w:rsidP="00AD4FF4">
            <w:pPr>
              <w:cnfStyle w:val="000000000000" w:firstRow="0" w:lastRow="0" w:firstColumn="0" w:lastColumn="0" w:oddVBand="0" w:evenVBand="0" w:oddHBand="0" w:evenHBand="0" w:firstRowFirstColumn="0" w:firstRowLastColumn="0" w:lastRowFirstColumn="0" w:lastRowLastColumn="0"/>
            </w:pPr>
            <w:r w:rsidRPr="00AD4FF4">
              <w:t>2</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0</w:t>
            </w:r>
          </w:p>
        </w:tc>
        <w:tc>
          <w:tcPr>
            <w:tcW w:w="1245" w:type="dxa"/>
          </w:tcPr>
          <w:p w:rsidR="00D31FB8" w:rsidRPr="00AD4FF4" w:rsidRDefault="00D31FB8" w:rsidP="00AD4FF4">
            <w:pPr>
              <w:cnfStyle w:val="000000000000" w:firstRow="0" w:lastRow="0" w:firstColumn="0" w:lastColumn="0" w:oddVBand="0" w:evenVBand="0" w:oddHBand="0" w:evenHBand="0" w:firstRowFirstColumn="0" w:firstRowLastColumn="0" w:lastRowFirstColumn="0" w:lastRowLastColumn="0"/>
            </w:pPr>
            <w:r w:rsidRPr="00AD4FF4">
              <w:t>4</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3</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10</w:t>
            </w:r>
          </w:p>
        </w:tc>
      </w:tr>
      <w:tr w:rsidR="00D31FB8" w:rsidRPr="00AD4FF4" w:rsidTr="00D31FB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AD4FF4">
            <w:r w:rsidRPr="00AD4FF4">
              <w:t>Drug/substance related</w:t>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1</w:t>
            </w:r>
          </w:p>
        </w:tc>
        <w:tc>
          <w:tcPr>
            <w:tcW w:w="1167" w:type="dxa"/>
          </w:tcPr>
          <w:p w:rsidR="00D31FB8" w:rsidRPr="00AD4FF4" w:rsidRDefault="00D31FB8" w:rsidP="00AD4FF4">
            <w:pPr>
              <w:cnfStyle w:val="000000100000" w:firstRow="0" w:lastRow="0" w:firstColumn="0" w:lastColumn="0" w:oddVBand="0" w:evenVBand="0" w:oddHBand="1" w:evenHBand="0" w:firstRowFirstColumn="0" w:firstRowLastColumn="0" w:lastRowFirstColumn="0" w:lastRowLastColumn="0"/>
            </w:pPr>
            <w:r w:rsidRPr="00AD4FF4">
              <w:t>3</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0</w:t>
            </w:r>
          </w:p>
        </w:tc>
        <w:tc>
          <w:tcPr>
            <w:tcW w:w="1245" w:type="dxa"/>
          </w:tcPr>
          <w:p w:rsidR="00D31FB8" w:rsidRPr="00AD4FF4" w:rsidRDefault="00D31FB8" w:rsidP="00AD4FF4">
            <w:pPr>
              <w:cnfStyle w:val="000000100000" w:firstRow="0" w:lastRow="0" w:firstColumn="0" w:lastColumn="0" w:oddVBand="0" w:evenVBand="0" w:oddHBand="1" w:evenHBand="0" w:firstRowFirstColumn="0" w:firstRowLastColumn="0" w:lastRowFirstColumn="0" w:lastRowLastColumn="0"/>
            </w:pPr>
            <w:r w:rsidRPr="00AD4FF4">
              <w:t>0</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3</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7</w:t>
            </w:r>
          </w:p>
        </w:tc>
      </w:tr>
      <w:tr w:rsidR="00D31FB8" w:rsidRPr="00AD4FF4" w:rsidTr="00D31FB8">
        <w:trPr>
          <w:trHeight w:val="44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D31FB8">
            <w:r w:rsidRPr="00AD4FF4">
              <w:t>Pending determination</w:t>
            </w:r>
            <w:r>
              <w:rPr>
                <w:rStyle w:val="FootnoteReference"/>
              </w:rPr>
              <w:footnoteReference w:id="6"/>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0</w:t>
            </w:r>
          </w:p>
        </w:tc>
        <w:tc>
          <w:tcPr>
            <w:tcW w:w="1167" w:type="dxa"/>
          </w:tcPr>
          <w:p w:rsidR="00D31FB8" w:rsidRPr="00AD4FF4" w:rsidRDefault="00D31FB8" w:rsidP="00AD4FF4">
            <w:pPr>
              <w:cnfStyle w:val="000000000000" w:firstRow="0" w:lastRow="0" w:firstColumn="0" w:lastColumn="0" w:oddVBand="0" w:evenVBand="0" w:oddHBand="0" w:evenHBand="0" w:firstRowFirstColumn="0" w:firstRowLastColumn="0" w:lastRowFirstColumn="0" w:lastRowLastColumn="0"/>
            </w:pPr>
            <w:r w:rsidRPr="00AD4FF4">
              <w:t>1</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1</w:t>
            </w:r>
          </w:p>
        </w:tc>
        <w:tc>
          <w:tcPr>
            <w:tcW w:w="1245" w:type="dxa"/>
          </w:tcPr>
          <w:p w:rsidR="00D31FB8" w:rsidRPr="00AD4FF4" w:rsidRDefault="00D31FB8" w:rsidP="00AD4FF4">
            <w:pPr>
              <w:cnfStyle w:val="000000000000" w:firstRow="0" w:lastRow="0" w:firstColumn="0" w:lastColumn="0" w:oddVBand="0" w:evenVBand="0" w:oddHBand="0" w:evenHBand="0" w:firstRowFirstColumn="0" w:firstRowLastColumn="0" w:lastRowFirstColumn="0" w:lastRowLastColumn="0"/>
            </w:pPr>
            <w:r w:rsidRPr="00AD4FF4">
              <w:t>1</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3</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6</w:t>
            </w:r>
          </w:p>
        </w:tc>
      </w:tr>
      <w:tr w:rsidR="00D31FB8" w:rsidRPr="00AD4FF4" w:rsidTr="00D31FB8">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3" w:type="dxa"/>
          </w:tcPr>
          <w:p w:rsidR="00D31FB8" w:rsidRPr="00AD4FF4" w:rsidRDefault="00D31FB8" w:rsidP="00AD4FF4">
            <w:r w:rsidRPr="00AD4FF4">
              <w:t>Total</w:t>
            </w:r>
          </w:p>
        </w:tc>
        <w:tc>
          <w:tcPr>
            <w:cnfStyle w:val="000010000000" w:firstRow="0" w:lastRow="0" w:firstColumn="0" w:lastColumn="0" w:oddVBand="1" w:evenVBand="0" w:oddHBand="0" w:evenHBand="0" w:firstRowFirstColumn="0" w:firstRowLastColumn="0" w:lastRowFirstColumn="0" w:lastRowLastColumn="0"/>
            <w:tcW w:w="1188" w:type="dxa"/>
          </w:tcPr>
          <w:p w:rsidR="00D31FB8" w:rsidRPr="00AD4FF4" w:rsidRDefault="00D31FB8" w:rsidP="00AD4FF4">
            <w:r w:rsidRPr="00AD4FF4">
              <w:t>26</w:t>
            </w:r>
          </w:p>
        </w:tc>
        <w:tc>
          <w:tcPr>
            <w:tcW w:w="1167" w:type="dxa"/>
          </w:tcPr>
          <w:p w:rsidR="00D31FB8" w:rsidRPr="00AD4FF4" w:rsidRDefault="00D31FB8" w:rsidP="00AD4FF4">
            <w:pPr>
              <w:cnfStyle w:val="010000000000" w:firstRow="0" w:lastRow="1" w:firstColumn="0" w:lastColumn="0" w:oddVBand="0" w:evenVBand="0" w:oddHBand="0" w:evenHBand="0" w:firstRowFirstColumn="0" w:firstRowLastColumn="0" w:lastRowFirstColumn="0" w:lastRowLastColumn="0"/>
            </w:pPr>
            <w:r w:rsidRPr="00AD4FF4">
              <w:t>37</w:t>
            </w:r>
          </w:p>
        </w:tc>
        <w:tc>
          <w:tcPr>
            <w:cnfStyle w:val="000010000000" w:firstRow="0" w:lastRow="0" w:firstColumn="0" w:lastColumn="0" w:oddVBand="1" w:evenVBand="0" w:oddHBand="0" w:evenHBand="0" w:firstRowFirstColumn="0" w:firstRowLastColumn="0" w:lastRowFirstColumn="0" w:lastRowLastColumn="0"/>
            <w:tcW w:w="1193" w:type="dxa"/>
          </w:tcPr>
          <w:p w:rsidR="00D31FB8" w:rsidRPr="00AD4FF4" w:rsidRDefault="00D31FB8" w:rsidP="00AD4FF4">
            <w:r w:rsidRPr="00AD4FF4">
              <w:t>24</w:t>
            </w:r>
          </w:p>
        </w:tc>
        <w:tc>
          <w:tcPr>
            <w:tcW w:w="1245" w:type="dxa"/>
          </w:tcPr>
          <w:p w:rsidR="00D31FB8" w:rsidRPr="00AD4FF4" w:rsidRDefault="00D31FB8" w:rsidP="00AD4FF4">
            <w:pPr>
              <w:cnfStyle w:val="010000000000" w:firstRow="0" w:lastRow="1" w:firstColumn="0" w:lastColumn="0" w:oddVBand="0" w:evenVBand="0" w:oddHBand="0" w:evenHBand="0" w:firstRowFirstColumn="0" w:firstRowLastColumn="0" w:lastRowFirstColumn="0" w:lastRowLastColumn="0"/>
            </w:pPr>
            <w:r w:rsidRPr="00AD4FF4">
              <w:t>38</w:t>
            </w:r>
          </w:p>
        </w:tc>
        <w:tc>
          <w:tcPr>
            <w:cnfStyle w:val="000010000000" w:firstRow="0" w:lastRow="0" w:firstColumn="0" w:lastColumn="0" w:oddVBand="1" w:evenVBand="0" w:oddHBand="0" w:evenHBand="0" w:firstRowFirstColumn="0" w:firstRowLastColumn="0" w:lastRowFirstColumn="0" w:lastRowLastColumn="0"/>
            <w:tcW w:w="1245" w:type="dxa"/>
          </w:tcPr>
          <w:p w:rsidR="00D31FB8" w:rsidRPr="00AD4FF4" w:rsidRDefault="00D31FB8" w:rsidP="00AD4FF4">
            <w:r w:rsidRPr="00AD4FF4">
              <w:t>36</w:t>
            </w:r>
          </w:p>
        </w:tc>
        <w:tc>
          <w:tcPr>
            <w:cnfStyle w:val="000100000000" w:firstRow="0" w:lastRow="0" w:firstColumn="0" w:lastColumn="1" w:oddVBand="0" w:evenVBand="0" w:oddHBand="0" w:evenHBand="0" w:firstRowFirstColumn="0" w:firstRowLastColumn="0" w:lastRowFirstColumn="0" w:lastRowLastColumn="0"/>
            <w:tcW w:w="1136" w:type="dxa"/>
          </w:tcPr>
          <w:p w:rsidR="00D31FB8" w:rsidRPr="00AD4FF4" w:rsidRDefault="00D31FB8" w:rsidP="00AD4FF4">
            <w:r w:rsidRPr="00AD4FF4">
              <w:t>161</w:t>
            </w:r>
          </w:p>
        </w:tc>
      </w:tr>
    </w:tbl>
    <w:p w:rsidR="008A1207" w:rsidRDefault="008A1207" w:rsidP="008A1207">
      <w:pPr>
        <w:rPr>
          <w:rFonts w:hAnsi="Helvetica Neue" w:cs="Helvetica Neue"/>
        </w:rPr>
      </w:pPr>
    </w:p>
    <w:p w:rsidR="007A01BD" w:rsidRPr="003F6306" w:rsidRDefault="008A1207" w:rsidP="008A1207">
      <w:pPr>
        <w:pStyle w:val="Caption"/>
        <w:rPr>
          <w:rFonts w:ascii="HelveticaNeue-Medium"/>
          <w:sz w:val="25"/>
        </w:rPr>
      </w:pPr>
      <w:bookmarkStart w:id="41" w:name="_Toc496019883"/>
      <w:r>
        <w:t xml:space="preserve">Table </w:t>
      </w:r>
      <w:r>
        <w:fldChar w:fldCharType="begin"/>
      </w:r>
      <w:r>
        <w:instrText xml:space="preserve"> SEQ Table \* ARABIC </w:instrText>
      </w:r>
      <w:r>
        <w:fldChar w:fldCharType="separate"/>
      </w:r>
      <w:r w:rsidR="00DF01C3">
        <w:rPr>
          <w:noProof/>
        </w:rPr>
        <w:t>5</w:t>
      </w:r>
      <w:r>
        <w:fldChar w:fldCharType="end"/>
      </w:r>
      <w:r w:rsidRPr="001156CA">
        <w:t xml:space="preserve"> Child death notifications received by the Commission between 2012–17, by Aboriginal status</w:t>
      </w:r>
      <w:bookmarkEnd w:id="41"/>
    </w:p>
    <w:tbl>
      <w:tblPr>
        <w:tblStyle w:val="LightList-Accent1"/>
        <w:tblW w:w="0" w:type="auto"/>
        <w:tblLayout w:type="fixed"/>
        <w:tblLook w:val="01E0" w:firstRow="1" w:lastRow="1" w:firstColumn="1" w:lastColumn="1" w:noHBand="0" w:noVBand="0"/>
      </w:tblPr>
      <w:tblGrid>
        <w:gridCol w:w="1585"/>
        <w:gridCol w:w="1134"/>
        <w:gridCol w:w="1136"/>
        <w:gridCol w:w="1132"/>
        <w:gridCol w:w="1136"/>
        <w:gridCol w:w="1196"/>
        <w:gridCol w:w="1001"/>
        <w:gridCol w:w="1232"/>
        <w:gridCol w:w="236"/>
      </w:tblGrid>
      <w:tr w:rsidR="007A01BD" w:rsidRPr="008A1207" w:rsidTr="008A12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5" w:type="dxa"/>
          </w:tcPr>
          <w:p w:rsidR="007A01BD" w:rsidRPr="008A1207" w:rsidRDefault="00F82531" w:rsidP="008A1207">
            <w:r w:rsidRPr="008A1207">
              <w:t>Status</w:t>
            </w:r>
          </w:p>
        </w:tc>
        <w:tc>
          <w:tcPr>
            <w:cnfStyle w:val="000010000000" w:firstRow="0" w:lastRow="0" w:firstColumn="0" w:lastColumn="0" w:oddVBand="1" w:evenVBand="0" w:oddHBand="0" w:evenHBand="0" w:firstRowFirstColumn="0" w:firstRowLastColumn="0" w:lastRowFirstColumn="0" w:lastRowLastColumn="0"/>
            <w:tcW w:w="1134" w:type="dxa"/>
          </w:tcPr>
          <w:p w:rsidR="007A01BD" w:rsidRPr="008A1207" w:rsidRDefault="00F82531" w:rsidP="008A1207">
            <w:r w:rsidRPr="008A1207">
              <w:t>2012–13</w:t>
            </w:r>
          </w:p>
        </w:tc>
        <w:tc>
          <w:tcPr>
            <w:tcW w:w="1136" w:type="dxa"/>
          </w:tcPr>
          <w:p w:rsidR="007A01BD" w:rsidRPr="008A1207" w:rsidRDefault="00F82531" w:rsidP="008A1207">
            <w:pPr>
              <w:cnfStyle w:val="100000000000" w:firstRow="1" w:lastRow="0" w:firstColumn="0" w:lastColumn="0" w:oddVBand="0" w:evenVBand="0" w:oddHBand="0" w:evenHBand="0" w:firstRowFirstColumn="0" w:firstRowLastColumn="0" w:lastRowFirstColumn="0" w:lastRowLastColumn="0"/>
            </w:pPr>
            <w:r w:rsidRPr="008A1207">
              <w:t>2013–14</w:t>
            </w:r>
          </w:p>
        </w:tc>
        <w:tc>
          <w:tcPr>
            <w:cnfStyle w:val="000010000000" w:firstRow="0" w:lastRow="0" w:firstColumn="0" w:lastColumn="0" w:oddVBand="1" w:evenVBand="0" w:oddHBand="0" w:evenHBand="0" w:firstRowFirstColumn="0" w:firstRowLastColumn="0" w:lastRowFirstColumn="0" w:lastRowLastColumn="0"/>
            <w:tcW w:w="1132" w:type="dxa"/>
          </w:tcPr>
          <w:p w:rsidR="007A01BD" w:rsidRPr="008A1207" w:rsidRDefault="00F82531" w:rsidP="008A1207">
            <w:r w:rsidRPr="008A1207">
              <w:t>2014–15</w:t>
            </w:r>
          </w:p>
        </w:tc>
        <w:tc>
          <w:tcPr>
            <w:tcW w:w="1136" w:type="dxa"/>
          </w:tcPr>
          <w:p w:rsidR="007A01BD" w:rsidRPr="008A1207" w:rsidRDefault="00F82531" w:rsidP="008A1207">
            <w:pPr>
              <w:cnfStyle w:val="100000000000" w:firstRow="1" w:lastRow="0" w:firstColumn="0" w:lastColumn="0" w:oddVBand="0" w:evenVBand="0" w:oddHBand="0" w:evenHBand="0" w:firstRowFirstColumn="0" w:firstRowLastColumn="0" w:lastRowFirstColumn="0" w:lastRowLastColumn="0"/>
            </w:pPr>
            <w:r w:rsidRPr="008A1207">
              <w:t>2015–16</w:t>
            </w:r>
          </w:p>
        </w:tc>
        <w:tc>
          <w:tcPr>
            <w:cnfStyle w:val="000010000000" w:firstRow="0" w:lastRow="0" w:firstColumn="0" w:lastColumn="0" w:oddVBand="1" w:evenVBand="0" w:oddHBand="0" w:evenHBand="0" w:firstRowFirstColumn="0" w:firstRowLastColumn="0" w:lastRowFirstColumn="0" w:lastRowLastColumn="0"/>
            <w:tcW w:w="1196" w:type="dxa"/>
          </w:tcPr>
          <w:p w:rsidR="007A01BD" w:rsidRPr="008A1207" w:rsidRDefault="00F82531" w:rsidP="008A1207">
            <w:r w:rsidRPr="008A1207">
              <w:t>2016–17</w:t>
            </w:r>
          </w:p>
        </w:tc>
        <w:tc>
          <w:tcPr>
            <w:tcW w:w="1001" w:type="dxa"/>
          </w:tcPr>
          <w:p w:rsidR="007A01BD" w:rsidRPr="008A1207" w:rsidRDefault="00F82531" w:rsidP="008A1207">
            <w:pPr>
              <w:cnfStyle w:val="100000000000" w:firstRow="1" w:lastRow="0" w:firstColumn="0" w:lastColumn="0" w:oddVBand="0" w:evenVBand="0" w:oddHBand="0" w:evenHBand="0" w:firstRowFirstColumn="0" w:firstRowLastColumn="0" w:lastRowFirstColumn="0" w:lastRowLastColumn="0"/>
            </w:pPr>
            <w:r w:rsidRPr="008A1207">
              <w:t>Total</w:t>
            </w:r>
          </w:p>
        </w:tc>
        <w:tc>
          <w:tcPr>
            <w:cnfStyle w:val="000010000000" w:firstRow="0" w:lastRow="0" w:firstColumn="0" w:lastColumn="0" w:oddVBand="1" w:evenVBand="0" w:oddHBand="0" w:evenHBand="0" w:firstRowFirstColumn="0" w:firstRowLastColumn="0" w:lastRowFirstColumn="0" w:lastRowLastColumn="0"/>
            <w:tcW w:w="1232" w:type="dxa"/>
          </w:tcPr>
          <w:p w:rsidR="007A01BD" w:rsidRPr="008A1207" w:rsidRDefault="00F82531" w:rsidP="008A1207">
            <w:r w:rsidRPr="008A1207">
              <w:t>Per cent</w:t>
            </w:r>
          </w:p>
        </w:tc>
        <w:tc>
          <w:tcPr>
            <w:cnfStyle w:val="000100000000" w:firstRow="0" w:lastRow="0" w:firstColumn="0" w:lastColumn="1" w:oddVBand="0" w:evenVBand="0" w:oddHBand="0" w:evenHBand="0" w:firstRowFirstColumn="0" w:firstRowLastColumn="0" w:lastRowFirstColumn="0" w:lastRowLastColumn="0"/>
            <w:tcW w:w="80" w:type="dxa"/>
          </w:tcPr>
          <w:p w:rsidR="007A01BD" w:rsidRPr="008A1207" w:rsidRDefault="007A01BD" w:rsidP="008A1207"/>
        </w:tc>
      </w:tr>
      <w:tr w:rsidR="007A01BD" w:rsidRPr="008A1207" w:rsidTr="008A120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85" w:type="dxa"/>
          </w:tcPr>
          <w:p w:rsidR="007A01BD" w:rsidRPr="008A1207" w:rsidRDefault="00F82531" w:rsidP="008A1207">
            <w:r w:rsidRPr="008A1207">
              <w:t>Aboriginal</w:t>
            </w:r>
          </w:p>
        </w:tc>
        <w:tc>
          <w:tcPr>
            <w:cnfStyle w:val="000010000000" w:firstRow="0" w:lastRow="0" w:firstColumn="0" w:lastColumn="0" w:oddVBand="1" w:evenVBand="0" w:oddHBand="0" w:evenHBand="0" w:firstRowFirstColumn="0" w:firstRowLastColumn="0" w:lastRowFirstColumn="0" w:lastRowLastColumn="0"/>
            <w:tcW w:w="1134" w:type="dxa"/>
          </w:tcPr>
          <w:p w:rsidR="007A01BD" w:rsidRPr="008A1207" w:rsidRDefault="00F82531" w:rsidP="008A1207">
            <w:r w:rsidRPr="008A1207">
              <w:t>3</w:t>
            </w:r>
          </w:p>
        </w:tc>
        <w:tc>
          <w:tcPr>
            <w:tcW w:w="1136" w:type="dxa"/>
          </w:tcPr>
          <w:p w:rsidR="007A01BD" w:rsidRPr="008A1207" w:rsidRDefault="00F82531" w:rsidP="008A1207">
            <w:pPr>
              <w:cnfStyle w:val="000000100000" w:firstRow="0" w:lastRow="0" w:firstColumn="0" w:lastColumn="0" w:oddVBand="0" w:evenVBand="0" w:oddHBand="1" w:evenHBand="0" w:firstRowFirstColumn="0" w:firstRowLastColumn="0" w:lastRowFirstColumn="0" w:lastRowLastColumn="0"/>
            </w:pPr>
            <w:r w:rsidRPr="008A1207">
              <w:t>2</w:t>
            </w:r>
          </w:p>
        </w:tc>
        <w:tc>
          <w:tcPr>
            <w:cnfStyle w:val="000010000000" w:firstRow="0" w:lastRow="0" w:firstColumn="0" w:lastColumn="0" w:oddVBand="1" w:evenVBand="0" w:oddHBand="0" w:evenHBand="0" w:firstRowFirstColumn="0" w:firstRowLastColumn="0" w:lastRowFirstColumn="0" w:lastRowLastColumn="0"/>
            <w:tcW w:w="1132" w:type="dxa"/>
          </w:tcPr>
          <w:p w:rsidR="007A01BD" w:rsidRPr="008A1207" w:rsidRDefault="00F82531" w:rsidP="008A1207">
            <w:r w:rsidRPr="008A1207">
              <w:t>4</w:t>
            </w:r>
          </w:p>
        </w:tc>
        <w:tc>
          <w:tcPr>
            <w:tcW w:w="1136" w:type="dxa"/>
          </w:tcPr>
          <w:p w:rsidR="007A01BD" w:rsidRPr="008A1207" w:rsidRDefault="00F82531" w:rsidP="008A1207">
            <w:pPr>
              <w:cnfStyle w:val="000000100000" w:firstRow="0" w:lastRow="0" w:firstColumn="0" w:lastColumn="0" w:oddVBand="0" w:evenVBand="0" w:oddHBand="1" w:evenHBand="0" w:firstRowFirstColumn="0" w:firstRowLastColumn="0" w:lastRowFirstColumn="0" w:lastRowLastColumn="0"/>
            </w:pPr>
            <w:r w:rsidRPr="008A1207">
              <w:t>4</w:t>
            </w:r>
          </w:p>
        </w:tc>
        <w:tc>
          <w:tcPr>
            <w:cnfStyle w:val="000010000000" w:firstRow="0" w:lastRow="0" w:firstColumn="0" w:lastColumn="0" w:oddVBand="1" w:evenVBand="0" w:oddHBand="0" w:evenHBand="0" w:firstRowFirstColumn="0" w:firstRowLastColumn="0" w:lastRowFirstColumn="0" w:lastRowLastColumn="0"/>
            <w:tcW w:w="1196" w:type="dxa"/>
          </w:tcPr>
          <w:p w:rsidR="007A01BD" w:rsidRPr="008A1207" w:rsidRDefault="00F82531" w:rsidP="008A1207">
            <w:r w:rsidRPr="008A1207">
              <w:t>4</w:t>
            </w:r>
          </w:p>
        </w:tc>
        <w:tc>
          <w:tcPr>
            <w:tcW w:w="1001" w:type="dxa"/>
          </w:tcPr>
          <w:p w:rsidR="007A01BD" w:rsidRPr="008A1207" w:rsidRDefault="00F82531" w:rsidP="008A1207">
            <w:pPr>
              <w:cnfStyle w:val="000000100000" w:firstRow="0" w:lastRow="0" w:firstColumn="0" w:lastColumn="0" w:oddVBand="0" w:evenVBand="0" w:oddHBand="1" w:evenHBand="0" w:firstRowFirstColumn="0" w:firstRowLastColumn="0" w:lastRowFirstColumn="0" w:lastRowLastColumn="0"/>
            </w:pPr>
            <w:r w:rsidRPr="008A1207">
              <w:t>17</w:t>
            </w:r>
          </w:p>
        </w:tc>
        <w:tc>
          <w:tcPr>
            <w:cnfStyle w:val="000010000000" w:firstRow="0" w:lastRow="0" w:firstColumn="0" w:lastColumn="0" w:oddVBand="1" w:evenVBand="0" w:oddHBand="0" w:evenHBand="0" w:firstRowFirstColumn="0" w:firstRowLastColumn="0" w:lastRowFirstColumn="0" w:lastRowLastColumn="0"/>
            <w:tcW w:w="1232" w:type="dxa"/>
          </w:tcPr>
          <w:p w:rsidR="007A01BD" w:rsidRPr="008A1207" w:rsidRDefault="00F82531" w:rsidP="008A1207">
            <w:r w:rsidRPr="008A1207">
              <w:t>10.6</w:t>
            </w:r>
          </w:p>
        </w:tc>
        <w:tc>
          <w:tcPr>
            <w:cnfStyle w:val="000100000000" w:firstRow="0" w:lastRow="0" w:firstColumn="0" w:lastColumn="1" w:oddVBand="0" w:evenVBand="0" w:oddHBand="0" w:evenHBand="0" w:firstRowFirstColumn="0" w:firstRowLastColumn="0" w:lastRowFirstColumn="0" w:lastRowLastColumn="0"/>
            <w:tcW w:w="80" w:type="dxa"/>
          </w:tcPr>
          <w:p w:rsidR="007A01BD" w:rsidRPr="008A1207" w:rsidRDefault="007A01BD" w:rsidP="008A1207"/>
        </w:tc>
      </w:tr>
      <w:tr w:rsidR="007A01BD" w:rsidRPr="008A1207" w:rsidTr="008A1207">
        <w:trPr>
          <w:trHeight w:val="440"/>
        </w:trPr>
        <w:tc>
          <w:tcPr>
            <w:cnfStyle w:val="001000000000" w:firstRow="0" w:lastRow="0" w:firstColumn="1" w:lastColumn="0" w:oddVBand="0" w:evenVBand="0" w:oddHBand="0" w:evenHBand="0" w:firstRowFirstColumn="0" w:firstRowLastColumn="0" w:lastRowFirstColumn="0" w:lastRowLastColumn="0"/>
            <w:tcW w:w="1585" w:type="dxa"/>
          </w:tcPr>
          <w:p w:rsidR="007A01BD" w:rsidRPr="008A1207" w:rsidRDefault="00F82531" w:rsidP="008A1207">
            <w:r w:rsidRPr="008A1207">
              <w:t>Non-Aboriginal</w:t>
            </w:r>
          </w:p>
        </w:tc>
        <w:tc>
          <w:tcPr>
            <w:cnfStyle w:val="000010000000" w:firstRow="0" w:lastRow="0" w:firstColumn="0" w:lastColumn="0" w:oddVBand="1" w:evenVBand="0" w:oddHBand="0" w:evenHBand="0" w:firstRowFirstColumn="0" w:firstRowLastColumn="0" w:lastRowFirstColumn="0" w:lastRowLastColumn="0"/>
            <w:tcW w:w="1134" w:type="dxa"/>
          </w:tcPr>
          <w:p w:rsidR="007A01BD" w:rsidRPr="008A1207" w:rsidRDefault="00F82531" w:rsidP="008A1207">
            <w:r w:rsidRPr="008A1207">
              <w:t>23</w:t>
            </w:r>
          </w:p>
        </w:tc>
        <w:tc>
          <w:tcPr>
            <w:tcW w:w="1136" w:type="dxa"/>
          </w:tcPr>
          <w:p w:rsidR="007A01BD" w:rsidRPr="008A1207" w:rsidRDefault="00F82531" w:rsidP="008A1207">
            <w:pPr>
              <w:cnfStyle w:val="000000000000" w:firstRow="0" w:lastRow="0" w:firstColumn="0" w:lastColumn="0" w:oddVBand="0" w:evenVBand="0" w:oddHBand="0" w:evenHBand="0" w:firstRowFirstColumn="0" w:firstRowLastColumn="0" w:lastRowFirstColumn="0" w:lastRowLastColumn="0"/>
            </w:pPr>
            <w:r w:rsidRPr="008A1207">
              <w:t>35</w:t>
            </w:r>
          </w:p>
        </w:tc>
        <w:tc>
          <w:tcPr>
            <w:cnfStyle w:val="000010000000" w:firstRow="0" w:lastRow="0" w:firstColumn="0" w:lastColumn="0" w:oddVBand="1" w:evenVBand="0" w:oddHBand="0" w:evenHBand="0" w:firstRowFirstColumn="0" w:firstRowLastColumn="0" w:lastRowFirstColumn="0" w:lastRowLastColumn="0"/>
            <w:tcW w:w="1132" w:type="dxa"/>
          </w:tcPr>
          <w:p w:rsidR="007A01BD" w:rsidRPr="008A1207" w:rsidRDefault="00F82531" w:rsidP="008A1207">
            <w:r w:rsidRPr="008A1207">
              <w:t>20</w:t>
            </w:r>
          </w:p>
        </w:tc>
        <w:tc>
          <w:tcPr>
            <w:tcW w:w="1136" w:type="dxa"/>
          </w:tcPr>
          <w:p w:rsidR="007A01BD" w:rsidRPr="008A1207" w:rsidRDefault="00F82531" w:rsidP="008A1207">
            <w:pPr>
              <w:cnfStyle w:val="000000000000" w:firstRow="0" w:lastRow="0" w:firstColumn="0" w:lastColumn="0" w:oddVBand="0" w:evenVBand="0" w:oddHBand="0" w:evenHBand="0" w:firstRowFirstColumn="0" w:firstRowLastColumn="0" w:lastRowFirstColumn="0" w:lastRowLastColumn="0"/>
            </w:pPr>
            <w:r w:rsidRPr="008A1207">
              <w:t>34</w:t>
            </w:r>
          </w:p>
        </w:tc>
        <w:tc>
          <w:tcPr>
            <w:cnfStyle w:val="000010000000" w:firstRow="0" w:lastRow="0" w:firstColumn="0" w:lastColumn="0" w:oddVBand="1" w:evenVBand="0" w:oddHBand="0" w:evenHBand="0" w:firstRowFirstColumn="0" w:firstRowLastColumn="0" w:lastRowFirstColumn="0" w:lastRowLastColumn="0"/>
            <w:tcW w:w="1196" w:type="dxa"/>
          </w:tcPr>
          <w:p w:rsidR="007A01BD" w:rsidRPr="008A1207" w:rsidRDefault="00F82531" w:rsidP="008A1207">
            <w:r w:rsidRPr="008A1207">
              <w:t>32</w:t>
            </w:r>
          </w:p>
        </w:tc>
        <w:tc>
          <w:tcPr>
            <w:tcW w:w="1001" w:type="dxa"/>
          </w:tcPr>
          <w:p w:rsidR="007A01BD" w:rsidRPr="008A1207" w:rsidRDefault="00F82531" w:rsidP="008A1207">
            <w:pPr>
              <w:cnfStyle w:val="000000000000" w:firstRow="0" w:lastRow="0" w:firstColumn="0" w:lastColumn="0" w:oddVBand="0" w:evenVBand="0" w:oddHBand="0" w:evenHBand="0" w:firstRowFirstColumn="0" w:firstRowLastColumn="0" w:lastRowFirstColumn="0" w:lastRowLastColumn="0"/>
            </w:pPr>
            <w:r w:rsidRPr="008A1207">
              <w:t>144</w:t>
            </w:r>
          </w:p>
        </w:tc>
        <w:tc>
          <w:tcPr>
            <w:cnfStyle w:val="000010000000" w:firstRow="0" w:lastRow="0" w:firstColumn="0" w:lastColumn="0" w:oddVBand="1" w:evenVBand="0" w:oddHBand="0" w:evenHBand="0" w:firstRowFirstColumn="0" w:firstRowLastColumn="0" w:lastRowFirstColumn="0" w:lastRowLastColumn="0"/>
            <w:tcW w:w="1232" w:type="dxa"/>
          </w:tcPr>
          <w:p w:rsidR="007A01BD" w:rsidRPr="008A1207" w:rsidRDefault="00F82531" w:rsidP="008A1207">
            <w:r w:rsidRPr="008A1207">
              <w:t>89.4</w:t>
            </w:r>
          </w:p>
        </w:tc>
        <w:tc>
          <w:tcPr>
            <w:cnfStyle w:val="000100000000" w:firstRow="0" w:lastRow="0" w:firstColumn="0" w:lastColumn="1" w:oddVBand="0" w:evenVBand="0" w:oddHBand="0" w:evenHBand="0" w:firstRowFirstColumn="0" w:firstRowLastColumn="0" w:lastRowFirstColumn="0" w:lastRowLastColumn="0"/>
            <w:tcW w:w="80" w:type="dxa"/>
          </w:tcPr>
          <w:p w:rsidR="007A01BD" w:rsidRPr="008A1207" w:rsidRDefault="007A01BD" w:rsidP="008A1207"/>
        </w:tc>
      </w:tr>
      <w:tr w:rsidR="007A01BD" w:rsidRPr="008A1207" w:rsidTr="008A1207">
        <w:trPr>
          <w:cnfStyle w:val="010000000000" w:firstRow="0" w:lastRow="1"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tcPr>
          <w:p w:rsidR="007A01BD" w:rsidRPr="008A1207" w:rsidRDefault="00F82531" w:rsidP="008A1207">
            <w:r w:rsidRPr="008A1207">
              <w:t>Total</w:t>
            </w:r>
          </w:p>
        </w:tc>
        <w:tc>
          <w:tcPr>
            <w:cnfStyle w:val="000010000000" w:firstRow="0" w:lastRow="0" w:firstColumn="0" w:lastColumn="0" w:oddVBand="1" w:evenVBand="0" w:oddHBand="0" w:evenHBand="0" w:firstRowFirstColumn="0" w:firstRowLastColumn="0" w:lastRowFirstColumn="0" w:lastRowLastColumn="0"/>
            <w:tcW w:w="1134" w:type="dxa"/>
          </w:tcPr>
          <w:p w:rsidR="007A01BD" w:rsidRPr="008A1207" w:rsidRDefault="00F82531" w:rsidP="008A1207">
            <w:r w:rsidRPr="008A1207">
              <w:t>26</w:t>
            </w:r>
          </w:p>
        </w:tc>
        <w:tc>
          <w:tcPr>
            <w:tcW w:w="1136" w:type="dxa"/>
          </w:tcPr>
          <w:p w:rsidR="007A01BD" w:rsidRPr="008A1207" w:rsidRDefault="00F82531" w:rsidP="008A1207">
            <w:pPr>
              <w:cnfStyle w:val="010000000000" w:firstRow="0" w:lastRow="1" w:firstColumn="0" w:lastColumn="0" w:oddVBand="0" w:evenVBand="0" w:oddHBand="0" w:evenHBand="0" w:firstRowFirstColumn="0" w:firstRowLastColumn="0" w:lastRowFirstColumn="0" w:lastRowLastColumn="0"/>
            </w:pPr>
            <w:r w:rsidRPr="008A1207">
              <w:t>37</w:t>
            </w:r>
          </w:p>
        </w:tc>
        <w:tc>
          <w:tcPr>
            <w:cnfStyle w:val="000010000000" w:firstRow="0" w:lastRow="0" w:firstColumn="0" w:lastColumn="0" w:oddVBand="1" w:evenVBand="0" w:oddHBand="0" w:evenHBand="0" w:firstRowFirstColumn="0" w:firstRowLastColumn="0" w:lastRowFirstColumn="0" w:lastRowLastColumn="0"/>
            <w:tcW w:w="1132" w:type="dxa"/>
          </w:tcPr>
          <w:p w:rsidR="007A01BD" w:rsidRPr="008A1207" w:rsidRDefault="00F82531" w:rsidP="008A1207">
            <w:r w:rsidRPr="008A1207">
              <w:t>24</w:t>
            </w:r>
          </w:p>
        </w:tc>
        <w:tc>
          <w:tcPr>
            <w:tcW w:w="1136" w:type="dxa"/>
          </w:tcPr>
          <w:p w:rsidR="007A01BD" w:rsidRPr="008A1207" w:rsidRDefault="00F82531" w:rsidP="008A1207">
            <w:pPr>
              <w:cnfStyle w:val="010000000000" w:firstRow="0" w:lastRow="1" w:firstColumn="0" w:lastColumn="0" w:oddVBand="0" w:evenVBand="0" w:oddHBand="0" w:evenHBand="0" w:firstRowFirstColumn="0" w:firstRowLastColumn="0" w:lastRowFirstColumn="0" w:lastRowLastColumn="0"/>
            </w:pPr>
            <w:r w:rsidRPr="008A1207">
              <w:t>38</w:t>
            </w:r>
          </w:p>
        </w:tc>
        <w:tc>
          <w:tcPr>
            <w:cnfStyle w:val="000010000000" w:firstRow="0" w:lastRow="0" w:firstColumn="0" w:lastColumn="0" w:oddVBand="1" w:evenVBand="0" w:oddHBand="0" w:evenHBand="0" w:firstRowFirstColumn="0" w:firstRowLastColumn="0" w:lastRowFirstColumn="0" w:lastRowLastColumn="0"/>
            <w:tcW w:w="1196" w:type="dxa"/>
          </w:tcPr>
          <w:p w:rsidR="007A01BD" w:rsidRPr="008A1207" w:rsidRDefault="00F82531" w:rsidP="008A1207">
            <w:r w:rsidRPr="008A1207">
              <w:t>36</w:t>
            </w:r>
          </w:p>
        </w:tc>
        <w:tc>
          <w:tcPr>
            <w:tcW w:w="1001" w:type="dxa"/>
          </w:tcPr>
          <w:p w:rsidR="007A01BD" w:rsidRPr="008A1207" w:rsidRDefault="00F82531" w:rsidP="008A1207">
            <w:pPr>
              <w:cnfStyle w:val="010000000000" w:firstRow="0" w:lastRow="1" w:firstColumn="0" w:lastColumn="0" w:oddVBand="0" w:evenVBand="0" w:oddHBand="0" w:evenHBand="0" w:firstRowFirstColumn="0" w:firstRowLastColumn="0" w:lastRowFirstColumn="0" w:lastRowLastColumn="0"/>
            </w:pPr>
            <w:r w:rsidRPr="008A1207">
              <w:t>161</w:t>
            </w:r>
          </w:p>
        </w:tc>
        <w:tc>
          <w:tcPr>
            <w:cnfStyle w:val="000010000000" w:firstRow="0" w:lastRow="0" w:firstColumn="0" w:lastColumn="0" w:oddVBand="1" w:evenVBand="0" w:oddHBand="0" w:evenHBand="0" w:firstRowFirstColumn="0" w:firstRowLastColumn="0" w:lastRowFirstColumn="0" w:lastRowLastColumn="0"/>
            <w:tcW w:w="1232" w:type="dxa"/>
          </w:tcPr>
          <w:p w:rsidR="007A01BD" w:rsidRPr="008A1207" w:rsidRDefault="00F82531" w:rsidP="008A1207">
            <w:r w:rsidRPr="008A1207">
              <w:t>100</w:t>
            </w:r>
          </w:p>
        </w:tc>
        <w:tc>
          <w:tcPr>
            <w:cnfStyle w:val="000100000000" w:firstRow="0" w:lastRow="0" w:firstColumn="0" w:lastColumn="1" w:oddVBand="0" w:evenVBand="0" w:oddHBand="0" w:evenHBand="0" w:firstRowFirstColumn="0" w:firstRowLastColumn="0" w:lastRowFirstColumn="0" w:lastRowLastColumn="0"/>
            <w:tcW w:w="80" w:type="dxa"/>
          </w:tcPr>
          <w:p w:rsidR="007A01BD" w:rsidRPr="008A1207" w:rsidRDefault="007A01BD" w:rsidP="008A1207"/>
        </w:tc>
      </w:tr>
    </w:tbl>
    <w:p w:rsidR="00D31FB8" w:rsidRDefault="00D31FB8" w:rsidP="00D31FB8"/>
    <w:p w:rsidR="007A01BD" w:rsidRPr="003F6306" w:rsidRDefault="00F82531">
      <w:pPr>
        <w:pStyle w:val="Heading3"/>
        <w:spacing w:before="94"/>
      </w:pPr>
      <w:r w:rsidRPr="003F6306">
        <w:t>Child death inquiries completed</w:t>
      </w:r>
    </w:p>
    <w:p w:rsidR="007A01BD" w:rsidRPr="003F6306" w:rsidRDefault="00F82531" w:rsidP="00F20AFE">
      <w:r w:rsidRPr="003F6306">
        <w:t>We finalised 34 child death inquiries in 2016–17 (Tables 6 and 7). The issues we identified in these child death inquiries prompted us to make 51 recommendations this year. These inquiries related to children who died between 2015 and 2016.</w:t>
      </w:r>
    </w:p>
    <w:p w:rsidR="00F20AFE" w:rsidRDefault="00F82531" w:rsidP="00F20AFE">
      <w:r w:rsidRPr="003F6306">
        <w:t>Six inquiries related to Aboriginal children and 28 inquiries related to non-Aboriginal children. Three-quarters of the children in our finalised inquiries were living at home, and illness accounted for more than one-third of child deaths reviewed (38 per cent).</w:t>
      </w:r>
      <w:r w:rsidR="00F20AFE">
        <w:t xml:space="preserve"> </w:t>
      </w:r>
    </w:p>
    <w:p w:rsidR="007A01BD" w:rsidRPr="003F6306" w:rsidRDefault="00F82531" w:rsidP="00F20AFE">
      <w:r w:rsidRPr="003F6306">
        <w:t xml:space="preserve">Seventy per cent of children in our finalised inquiries had been subject to between one  and three reports to Child Protection, with two children being subject to </w:t>
      </w:r>
      <w:r w:rsidRPr="003F6306">
        <w:rPr>
          <w:spacing w:val="-5"/>
        </w:rPr>
        <w:t xml:space="preserve">10 </w:t>
      </w:r>
      <w:r w:rsidRPr="003F6306">
        <w:t>or more reports. For Aboriginal children, the average number of reports to Child Protection was</w:t>
      </w:r>
      <w:r w:rsidRPr="003F6306">
        <w:rPr>
          <w:spacing w:val="10"/>
        </w:rPr>
        <w:t xml:space="preserve"> </w:t>
      </w:r>
      <w:r w:rsidRPr="003F6306">
        <w:t>two.</w:t>
      </w:r>
    </w:p>
    <w:p w:rsidR="007A01BD" w:rsidRPr="003F6306" w:rsidRDefault="00F82531" w:rsidP="00F20AFE">
      <w:r w:rsidRPr="003F6306">
        <w:t>Thirteen (38 per cent) of our inquiries related to children whose cases had been closed by Child Protection.</w:t>
      </w:r>
    </w:p>
    <w:p w:rsidR="007A01BD" w:rsidRPr="003F6306" w:rsidRDefault="00F82531" w:rsidP="00F20AFE">
      <w:r w:rsidRPr="003F6306">
        <w:t>Five of the six Aboriginal children were younger than one year old when they died.</w:t>
      </w:r>
      <w:r w:rsidR="00D31FB8">
        <w:br/>
      </w:r>
    </w:p>
    <w:p w:rsidR="007A01BD" w:rsidRPr="003F6306" w:rsidRDefault="00D31FB8" w:rsidP="00D31FB8">
      <w:pPr>
        <w:pStyle w:val="Caption"/>
      </w:pPr>
      <w:bookmarkStart w:id="42" w:name="_Toc496019884"/>
      <w:r>
        <w:t xml:space="preserve">Table </w:t>
      </w:r>
      <w:r>
        <w:fldChar w:fldCharType="begin"/>
      </w:r>
      <w:r>
        <w:instrText xml:space="preserve"> SEQ Table \* ARABIC </w:instrText>
      </w:r>
      <w:r>
        <w:fldChar w:fldCharType="separate"/>
      </w:r>
      <w:r w:rsidR="00DF01C3">
        <w:rPr>
          <w:noProof/>
        </w:rPr>
        <w:t>6</w:t>
      </w:r>
      <w:r>
        <w:fldChar w:fldCharType="end"/>
      </w:r>
      <w:r>
        <w:t xml:space="preserve"> </w:t>
      </w:r>
      <w:r w:rsidRPr="00AC6668">
        <w:t>Child death inquiries completed by the Commission in 2016–17, by age, category of death and Aboriginal status</w:t>
      </w:r>
      <w:bookmarkEnd w:id="42"/>
    </w:p>
    <w:tbl>
      <w:tblPr>
        <w:tblStyle w:val="LightList-Accent1"/>
        <w:tblW w:w="9502" w:type="dxa"/>
        <w:tblLayout w:type="fixed"/>
        <w:tblLook w:val="01E0" w:firstRow="1" w:lastRow="1" w:firstColumn="1" w:lastColumn="1" w:noHBand="0" w:noVBand="0"/>
      </w:tblPr>
      <w:tblGrid>
        <w:gridCol w:w="2686"/>
        <w:gridCol w:w="2042"/>
        <w:gridCol w:w="2829"/>
        <w:gridCol w:w="1945"/>
      </w:tblGrid>
      <w:tr w:rsidR="00D31FB8" w:rsidRPr="00D31FB8" w:rsidTr="00D31FB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Category of death</w:t>
            </w:r>
            <w:r>
              <w:rPr>
                <w:rStyle w:val="FootnoteReference"/>
              </w:rPr>
              <w:footnoteReference w:id="7"/>
            </w:r>
            <w:r w:rsidRPr="00D31FB8">
              <w:t xml:space="preserve"> </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r w:rsidRPr="00D31FB8">
              <w:t>Aboriginal</w:t>
            </w:r>
          </w:p>
        </w:tc>
        <w:tc>
          <w:tcPr>
            <w:tcW w:w="2829" w:type="dxa"/>
          </w:tcPr>
          <w:p w:rsidR="00D31FB8" w:rsidRPr="00D31FB8" w:rsidRDefault="00D31FB8" w:rsidP="00D31FB8">
            <w:pPr>
              <w:cnfStyle w:val="100000000000" w:firstRow="1" w:lastRow="0" w:firstColumn="0" w:lastColumn="0" w:oddVBand="0" w:evenVBand="0" w:oddHBand="0" w:evenHBand="0" w:firstRowFirstColumn="0" w:firstRowLastColumn="0" w:lastRowFirstColumn="0" w:lastRowLastColumn="0"/>
            </w:pPr>
            <w:r w:rsidRPr="00D31FB8">
              <w:t>Non-Aboriginal</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Total</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Illness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r w:rsidRPr="00D31FB8">
              <w:t>3</w:t>
            </w:r>
          </w:p>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10</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13</w:t>
            </w:r>
          </w:p>
        </w:tc>
      </w:tr>
      <w:tr w:rsidR="00D31FB8" w:rsidRPr="00D31FB8" w:rsidTr="00D31FB8">
        <w:trPr>
          <w:trHeight w:val="28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0–5 months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r w:rsidRPr="00D31FB8">
              <w:t>3</w:t>
            </w:r>
          </w:p>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4</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7</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1–3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trHeight w:val="26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4–12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2</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2</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13–17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3</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3</w:t>
            </w:r>
          </w:p>
        </w:tc>
      </w:tr>
      <w:tr w:rsidR="00D31FB8" w:rsidRPr="00D31FB8" w:rsidTr="00D31FB8">
        <w:trPr>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Accidental</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6</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6</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6–11 months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trHeight w:val="26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1–3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2</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2</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4–12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trHeight w:val="34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lastRenderedPageBreak/>
              <w:t>13–17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2</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2</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Non-accidental</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r w:rsidRPr="00D31FB8">
              <w:t>2</w:t>
            </w:r>
          </w:p>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3</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5</w:t>
            </w:r>
          </w:p>
        </w:tc>
      </w:tr>
      <w:tr w:rsidR="00D31FB8" w:rsidRPr="00D31FB8" w:rsidTr="00D31FB8">
        <w:trPr>
          <w:trHeight w:val="28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0–5 months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6–11 months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r w:rsidRPr="00D31FB8">
              <w:t>2</w:t>
            </w:r>
          </w:p>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2</w:t>
            </w:r>
          </w:p>
        </w:tc>
      </w:tr>
      <w:tr w:rsidR="00D31FB8" w:rsidRPr="00D31FB8" w:rsidTr="00D31FB8">
        <w:trPr>
          <w:trHeight w:val="26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1–3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13–17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Suicide/self-harm</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r w:rsidRPr="00D31FB8">
              <w:t>1</w:t>
            </w:r>
          </w:p>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2</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3</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13–17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r w:rsidRPr="00D31FB8">
              <w:t>1</w:t>
            </w:r>
          </w:p>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2</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3</w:t>
            </w:r>
          </w:p>
        </w:tc>
      </w:tr>
      <w:tr w:rsidR="00D31FB8" w:rsidRPr="00D31FB8" w:rsidTr="00D31FB8">
        <w:trPr>
          <w:trHeight w:val="54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Sudden unexpected death in infancy (SUDI)</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3</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3</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0–5 months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2</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2</w:t>
            </w:r>
          </w:p>
        </w:tc>
      </w:tr>
      <w:tr w:rsidR="00D31FB8" w:rsidRPr="00D31FB8" w:rsidTr="00D31FB8">
        <w:trPr>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6–11 months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 xml:space="preserve">Unascertained </w:t>
            </w:r>
            <w:r>
              <w:rPr>
                <w:rStyle w:val="FootnoteReference"/>
              </w:rPr>
              <w:footnoteReference w:id="8"/>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2</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2</w:t>
            </w:r>
          </w:p>
        </w:tc>
      </w:tr>
      <w:tr w:rsidR="00D31FB8" w:rsidRPr="00D31FB8" w:rsidTr="00D31FB8">
        <w:trPr>
          <w:trHeight w:val="28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6–11 months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13–17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trHeight w:val="54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Drug/substance related</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13–17 years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t xml:space="preserve">Pending determination </w:t>
            </w:r>
            <w:r>
              <w:rPr>
                <w:rStyle w:val="FootnoteReference"/>
              </w:rPr>
              <w:footnoteReference w:id="9"/>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000000" w:firstRow="0" w:lastRow="0" w:firstColumn="0" w:lastColumn="0" w:oddVBand="0" w:evenVBand="0" w:oddHBand="0"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0–5 months</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tc>
        <w:tc>
          <w:tcPr>
            <w:tcW w:w="2829" w:type="dxa"/>
          </w:tcPr>
          <w:p w:rsidR="00D31FB8" w:rsidRPr="00D31FB8" w:rsidRDefault="00D31FB8" w:rsidP="00D31FB8">
            <w:pPr>
              <w:cnfStyle w:val="000000100000" w:firstRow="0" w:lastRow="0" w:firstColumn="0" w:lastColumn="0" w:oddVBand="0" w:evenVBand="0" w:oddHBand="1" w:evenHBand="0" w:firstRowFirstColumn="0" w:firstRowLastColumn="0" w:lastRowFirstColumn="0" w:lastRowLastColumn="0"/>
            </w:pPr>
            <w:r w:rsidRPr="00D31FB8">
              <w:t>1</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1</w:t>
            </w:r>
          </w:p>
        </w:tc>
      </w:tr>
      <w:tr w:rsidR="00D31FB8" w:rsidRPr="00D31FB8" w:rsidTr="00D31FB8">
        <w:trPr>
          <w:cnfStyle w:val="010000000000" w:firstRow="0" w:lastRow="1"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86" w:type="dxa"/>
          </w:tcPr>
          <w:p w:rsidR="00D31FB8" w:rsidRPr="00D31FB8" w:rsidRDefault="00D31FB8" w:rsidP="00D31FB8">
            <w:r w:rsidRPr="00D31FB8">
              <w:t>Total</w:t>
            </w:r>
          </w:p>
        </w:tc>
        <w:tc>
          <w:tcPr>
            <w:cnfStyle w:val="000010000000" w:firstRow="0" w:lastRow="0" w:firstColumn="0" w:lastColumn="0" w:oddVBand="1" w:evenVBand="0" w:oddHBand="0" w:evenHBand="0" w:firstRowFirstColumn="0" w:firstRowLastColumn="0" w:lastRowFirstColumn="0" w:lastRowLastColumn="0"/>
            <w:tcW w:w="2042" w:type="dxa"/>
          </w:tcPr>
          <w:p w:rsidR="00D31FB8" w:rsidRPr="00D31FB8" w:rsidRDefault="00D31FB8" w:rsidP="00D31FB8">
            <w:r w:rsidRPr="00D31FB8">
              <w:t>6</w:t>
            </w:r>
          </w:p>
        </w:tc>
        <w:tc>
          <w:tcPr>
            <w:tcW w:w="2829" w:type="dxa"/>
          </w:tcPr>
          <w:p w:rsidR="00D31FB8" w:rsidRPr="00D31FB8" w:rsidRDefault="00D31FB8" w:rsidP="00D31FB8">
            <w:pPr>
              <w:cnfStyle w:val="010000000000" w:firstRow="0" w:lastRow="1" w:firstColumn="0" w:lastColumn="0" w:oddVBand="0" w:evenVBand="0" w:oddHBand="0" w:evenHBand="0" w:firstRowFirstColumn="0" w:firstRowLastColumn="0" w:lastRowFirstColumn="0" w:lastRowLastColumn="0"/>
            </w:pPr>
            <w:r w:rsidRPr="00D31FB8">
              <w:t>28</w:t>
            </w:r>
          </w:p>
        </w:tc>
        <w:tc>
          <w:tcPr>
            <w:cnfStyle w:val="000100000000" w:firstRow="0" w:lastRow="0" w:firstColumn="0" w:lastColumn="1" w:oddVBand="0" w:evenVBand="0" w:oddHBand="0" w:evenHBand="0" w:firstRowFirstColumn="0" w:firstRowLastColumn="0" w:lastRowFirstColumn="0" w:lastRowLastColumn="0"/>
            <w:tcW w:w="1945" w:type="dxa"/>
          </w:tcPr>
          <w:p w:rsidR="00D31FB8" w:rsidRPr="00D31FB8" w:rsidRDefault="00D31FB8" w:rsidP="00D31FB8">
            <w:r w:rsidRPr="00D31FB8">
              <w:t>34</w:t>
            </w:r>
          </w:p>
        </w:tc>
      </w:tr>
    </w:tbl>
    <w:p w:rsidR="00D31FB8" w:rsidRDefault="00D31FB8" w:rsidP="00D31FB8"/>
    <w:p w:rsidR="00D31FB8" w:rsidRDefault="00D31FB8" w:rsidP="00D31FB8">
      <w:r>
        <w:br w:type="page"/>
      </w:r>
    </w:p>
    <w:p w:rsidR="007A01BD" w:rsidRPr="003F6306" w:rsidRDefault="00D31FB8" w:rsidP="00D31FB8">
      <w:pPr>
        <w:pStyle w:val="Caption"/>
      </w:pPr>
      <w:bookmarkStart w:id="43" w:name="_Toc496019885"/>
      <w:r>
        <w:lastRenderedPageBreak/>
        <w:t xml:space="preserve">Table </w:t>
      </w:r>
      <w:r>
        <w:fldChar w:fldCharType="begin"/>
      </w:r>
      <w:r>
        <w:instrText xml:space="preserve"> SEQ Table \* ARABIC </w:instrText>
      </w:r>
      <w:r>
        <w:fldChar w:fldCharType="separate"/>
      </w:r>
      <w:r w:rsidR="00DF01C3">
        <w:rPr>
          <w:noProof/>
        </w:rPr>
        <w:t>7</w:t>
      </w:r>
      <w:r>
        <w:fldChar w:fldCharType="end"/>
      </w:r>
      <w:r>
        <w:t xml:space="preserve"> Child death inquiries completed by the Commission in 2016-17, by living arrangements at death</w:t>
      </w:r>
      <w:bookmarkEnd w:id="43"/>
    </w:p>
    <w:tbl>
      <w:tblPr>
        <w:tblStyle w:val="LightList-Accent1"/>
        <w:tblW w:w="0" w:type="auto"/>
        <w:tblLayout w:type="fixed"/>
        <w:tblLook w:val="01E0" w:firstRow="1" w:lastRow="1" w:firstColumn="1" w:lastColumn="1" w:noHBand="0" w:noVBand="0"/>
      </w:tblPr>
      <w:tblGrid>
        <w:gridCol w:w="2708"/>
        <w:gridCol w:w="2000"/>
        <w:gridCol w:w="2829"/>
        <w:gridCol w:w="1968"/>
        <w:gridCol w:w="236"/>
      </w:tblGrid>
      <w:tr w:rsidR="00F20AFE" w:rsidRPr="00D31FB8" w:rsidTr="00D31FB8">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708" w:type="dxa"/>
          </w:tcPr>
          <w:p w:rsidR="007A01BD" w:rsidRPr="00D31FB8" w:rsidRDefault="00F82531" w:rsidP="00D31FB8">
            <w:r w:rsidRPr="00D31FB8">
              <w:t>Child’s living arrangements at time of death</w:t>
            </w:r>
          </w:p>
        </w:tc>
        <w:tc>
          <w:tcPr>
            <w:cnfStyle w:val="000010000000" w:firstRow="0" w:lastRow="0" w:firstColumn="0" w:lastColumn="0" w:oddVBand="1" w:evenVBand="0" w:oddHBand="0" w:evenHBand="0" w:firstRowFirstColumn="0" w:firstRowLastColumn="0" w:lastRowFirstColumn="0" w:lastRowLastColumn="0"/>
            <w:tcW w:w="2000" w:type="dxa"/>
          </w:tcPr>
          <w:p w:rsidR="007A01BD" w:rsidRPr="00D31FB8" w:rsidRDefault="00F82531" w:rsidP="00D31FB8">
            <w:r w:rsidRPr="00D31FB8">
              <w:t>Aboriginal</w:t>
            </w:r>
          </w:p>
        </w:tc>
        <w:tc>
          <w:tcPr>
            <w:tcW w:w="2829" w:type="dxa"/>
          </w:tcPr>
          <w:p w:rsidR="007A01BD" w:rsidRPr="00D31FB8" w:rsidRDefault="00F82531" w:rsidP="00D31FB8">
            <w:pPr>
              <w:cnfStyle w:val="100000000000" w:firstRow="1" w:lastRow="0" w:firstColumn="0" w:lastColumn="0" w:oddVBand="0" w:evenVBand="0" w:oddHBand="0" w:evenHBand="0" w:firstRowFirstColumn="0" w:firstRowLastColumn="0" w:lastRowFirstColumn="0" w:lastRowLastColumn="0"/>
            </w:pPr>
            <w:r w:rsidRPr="00D31FB8">
              <w:t>Non-Aboriginal</w:t>
            </w:r>
          </w:p>
        </w:tc>
        <w:tc>
          <w:tcPr>
            <w:cnfStyle w:val="000010000000" w:firstRow="0" w:lastRow="0" w:firstColumn="0" w:lastColumn="0" w:oddVBand="1" w:evenVBand="0" w:oddHBand="0" w:evenHBand="0" w:firstRowFirstColumn="0" w:firstRowLastColumn="0" w:lastRowFirstColumn="0" w:lastRowLastColumn="0"/>
            <w:tcW w:w="1968" w:type="dxa"/>
          </w:tcPr>
          <w:p w:rsidR="007A01BD" w:rsidRPr="00D31FB8" w:rsidRDefault="00F82531" w:rsidP="00D31FB8">
            <w:r w:rsidRPr="00D31FB8">
              <w:t>Total</w:t>
            </w:r>
          </w:p>
        </w:tc>
        <w:tc>
          <w:tcPr>
            <w:cnfStyle w:val="000100000000" w:firstRow="0" w:lastRow="0" w:firstColumn="0" w:lastColumn="1" w:oddVBand="0" w:evenVBand="0" w:oddHBand="0" w:evenHBand="0" w:firstRowFirstColumn="0" w:firstRowLastColumn="0" w:lastRowFirstColumn="0" w:lastRowLastColumn="0"/>
            <w:tcW w:w="113" w:type="dxa"/>
          </w:tcPr>
          <w:p w:rsidR="007A01BD" w:rsidRPr="00D31FB8" w:rsidRDefault="007A01BD" w:rsidP="00D31FB8"/>
        </w:tc>
      </w:tr>
      <w:tr w:rsidR="00F20AFE" w:rsidRPr="00D31FB8" w:rsidTr="00D31FB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08" w:type="dxa"/>
          </w:tcPr>
          <w:p w:rsidR="007A01BD" w:rsidRPr="00D31FB8" w:rsidRDefault="00F82531" w:rsidP="00D31FB8">
            <w:r w:rsidRPr="00D31FB8">
              <w:t>With a parent</w:t>
            </w:r>
          </w:p>
        </w:tc>
        <w:tc>
          <w:tcPr>
            <w:cnfStyle w:val="000010000000" w:firstRow="0" w:lastRow="0" w:firstColumn="0" w:lastColumn="0" w:oddVBand="1" w:evenVBand="0" w:oddHBand="0" w:evenHBand="0" w:firstRowFirstColumn="0" w:firstRowLastColumn="0" w:lastRowFirstColumn="0" w:lastRowLastColumn="0"/>
            <w:tcW w:w="2000" w:type="dxa"/>
          </w:tcPr>
          <w:p w:rsidR="007A01BD" w:rsidRPr="00D31FB8" w:rsidRDefault="00F82531" w:rsidP="00D31FB8">
            <w:r w:rsidRPr="00D31FB8">
              <w:t>4</w:t>
            </w:r>
          </w:p>
        </w:tc>
        <w:tc>
          <w:tcPr>
            <w:tcW w:w="2829" w:type="dxa"/>
          </w:tcPr>
          <w:p w:rsidR="007A01BD" w:rsidRPr="00D31FB8" w:rsidRDefault="00F82531" w:rsidP="00D31FB8">
            <w:pPr>
              <w:cnfStyle w:val="000000100000" w:firstRow="0" w:lastRow="0" w:firstColumn="0" w:lastColumn="0" w:oddVBand="0" w:evenVBand="0" w:oddHBand="1" w:evenHBand="0" w:firstRowFirstColumn="0" w:firstRowLastColumn="0" w:lastRowFirstColumn="0" w:lastRowLastColumn="0"/>
            </w:pPr>
            <w:r w:rsidRPr="00D31FB8">
              <w:t>21</w:t>
            </w:r>
          </w:p>
        </w:tc>
        <w:tc>
          <w:tcPr>
            <w:cnfStyle w:val="000010000000" w:firstRow="0" w:lastRow="0" w:firstColumn="0" w:lastColumn="0" w:oddVBand="1" w:evenVBand="0" w:oddHBand="0" w:evenHBand="0" w:firstRowFirstColumn="0" w:firstRowLastColumn="0" w:lastRowFirstColumn="0" w:lastRowLastColumn="0"/>
            <w:tcW w:w="1968" w:type="dxa"/>
          </w:tcPr>
          <w:p w:rsidR="007A01BD" w:rsidRPr="00D31FB8" w:rsidRDefault="00F82531" w:rsidP="00D31FB8">
            <w:r w:rsidRPr="00D31FB8">
              <w:t>25</w:t>
            </w:r>
          </w:p>
        </w:tc>
        <w:tc>
          <w:tcPr>
            <w:cnfStyle w:val="000100000000" w:firstRow="0" w:lastRow="0" w:firstColumn="0" w:lastColumn="1" w:oddVBand="0" w:evenVBand="0" w:oddHBand="0" w:evenHBand="0" w:firstRowFirstColumn="0" w:firstRowLastColumn="0" w:lastRowFirstColumn="0" w:lastRowLastColumn="0"/>
            <w:tcW w:w="113" w:type="dxa"/>
          </w:tcPr>
          <w:p w:rsidR="007A01BD" w:rsidRPr="00D31FB8" w:rsidRDefault="007A01BD" w:rsidP="00D31FB8"/>
        </w:tc>
      </w:tr>
      <w:tr w:rsidR="00F20AFE" w:rsidRPr="00D31FB8" w:rsidTr="00D31FB8">
        <w:trPr>
          <w:trHeight w:val="440"/>
        </w:trPr>
        <w:tc>
          <w:tcPr>
            <w:cnfStyle w:val="001000000000" w:firstRow="0" w:lastRow="0" w:firstColumn="1" w:lastColumn="0" w:oddVBand="0" w:evenVBand="0" w:oddHBand="0" w:evenHBand="0" w:firstRowFirstColumn="0" w:firstRowLastColumn="0" w:lastRowFirstColumn="0" w:lastRowLastColumn="0"/>
            <w:tcW w:w="2708" w:type="dxa"/>
          </w:tcPr>
          <w:p w:rsidR="007A01BD" w:rsidRPr="00D31FB8" w:rsidRDefault="00F82531" w:rsidP="00D31FB8">
            <w:r w:rsidRPr="00D31FB8">
              <w:t>Did not leave hospital</w:t>
            </w:r>
          </w:p>
        </w:tc>
        <w:tc>
          <w:tcPr>
            <w:cnfStyle w:val="000010000000" w:firstRow="0" w:lastRow="0" w:firstColumn="0" w:lastColumn="0" w:oddVBand="1" w:evenVBand="0" w:oddHBand="0" w:evenHBand="0" w:firstRowFirstColumn="0" w:firstRowLastColumn="0" w:lastRowFirstColumn="0" w:lastRowLastColumn="0"/>
            <w:tcW w:w="2000" w:type="dxa"/>
          </w:tcPr>
          <w:p w:rsidR="007A01BD" w:rsidRPr="00D31FB8" w:rsidRDefault="00F82531" w:rsidP="00D31FB8">
            <w:r w:rsidRPr="00D31FB8">
              <w:t>2</w:t>
            </w:r>
          </w:p>
        </w:tc>
        <w:tc>
          <w:tcPr>
            <w:tcW w:w="2829" w:type="dxa"/>
          </w:tcPr>
          <w:p w:rsidR="007A01BD" w:rsidRPr="00D31FB8" w:rsidRDefault="00F82531" w:rsidP="00D31FB8">
            <w:pPr>
              <w:cnfStyle w:val="000000000000" w:firstRow="0" w:lastRow="0" w:firstColumn="0" w:lastColumn="0" w:oddVBand="0" w:evenVBand="0" w:oddHBand="0" w:evenHBand="0" w:firstRowFirstColumn="0" w:firstRowLastColumn="0" w:lastRowFirstColumn="0" w:lastRowLastColumn="0"/>
            </w:pPr>
            <w:r w:rsidRPr="00D31FB8">
              <w:t>2</w:t>
            </w:r>
          </w:p>
        </w:tc>
        <w:tc>
          <w:tcPr>
            <w:cnfStyle w:val="000010000000" w:firstRow="0" w:lastRow="0" w:firstColumn="0" w:lastColumn="0" w:oddVBand="1" w:evenVBand="0" w:oddHBand="0" w:evenHBand="0" w:firstRowFirstColumn="0" w:firstRowLastColumn="0" w:lastRowFirstColumn="0" w:lastRowLastColumn="0"/>
            <w:tcW w:w="1968" w:type="dxa"/>
          </w:tcPr>
          <w:p w:rsidR="007A01BD" w:rsidRPr="00D31FB8" w:rsidRDefault="00F82531" w:rsidP="00D31FB8">
            <w:r w:rsidRPr="00D31FB8">
              <w:t>4</w:t>
            </w:r>
          </w:p>
        </w:tc>
        <w:tc>
          <w:tcPr>
            <w:cnfStyle w:val="000100000000" w:firstRow="0" w:lastRow="0" w:firstColumn="0" w:lastColumn="1" w:oddVBand="0" w:evenVBand="0" w:oddHBand="0" w:evenHBand="0" w:firstRowFirstColumn="0" w:firstRowLastColumn="0" w:lastRowFirstColumn="0" w:lastRowLastColumn="0"/>
            <w:tcW w:w="113" w:type="dxa"/>
          </w:tcPr>
          <w:p w:rsidR="007A01BD" w:rsidRPr="00D31FB8" w:rsidRDefault="007A01BD" w:rsidP="00D31FB8"/>
        </w:tc>
      </w:tr>
      <w:tr w:rsidR="00F20AFE" w:rsidRPr="00D31FB8" w:rsidTr="00D31F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08" w:type="dxa"/>
          </w:tcPr>
          <w:p w:rsidR="007A01BD" w:rsidRPr="00D31FB8" w:rsidRDefault="00F82531" w:rsidP="00D31FB8">
            <w:r w:rsidRPr="00D31FB8">
              <w:t>Kinship care</w:t>
            </w:r>
          </w:p>
        </w:tc>
        <w:tc>
          <w:tcPr>
            <w:cnfStyle w:val="000010000000" w:firstRow="0" w:lastRow="0" w:firstColumn="0" w:lastColumn="0" w:oddVBand="1" w:evenVBand="0" w:oddHBand="0" w:evenHBand="0" w:firstRowFirstColumn="0" w:firstRowLastColumn="0" w:lastRowFirstColumn="0" w:lastRowLastColumn="0"/>
            <w:tcW w:w="2000" w:type="dxa"/>
          </w:tcPr>
          <w:p w:rsidR="007A01BD" w:rsidRPr="00D31FB8" w:rsidRDefault="00F82531" w:rsidP="00D31FB8">
            <w:r w:rsidRPr="00D31FB8">
              <w:t>0</w:t>
            </w:r>
          </w:p>
        </w:tc>
        <w:tc>
          <w:tcPr>
            <w:tcW w:w="2829" w:type="dxa"/>
          </w:tcPr>
          <w:p w:rsidR="007A01BD" w:rsidRPr="00D31FB8" w:rsidRDefault="00F82531" w:rsidP="00D31FB8">
            <w:pPr>
              <w:cnfStyle w:val="000000100000" w:firstRow="0" w:lastRow="0" w:firstColumn="0" w:lastColumn="0" w:oddVBand="0" w:evenVBand="0" w:oddHBand="1" w:evenHBand="0" w:firstRowFirstColumn="0" w:firstRowLastColumn="0" w:lastRowFirstColumn="0" w:lastRowLastColumn="0"/>
            </w:pPr>
            <w:r w:rsidRPr="00D31FB8">
              <w:t>1</w:t>
            </w:r>
          </w:p>
        </w:tc>
        <w:tc>
          <w:tcPr>
            <w:cnfStyle w:val="000010000000" w:firstRow="0" w:lastRow="0" w:firstColumn="0" w:lastColumn="0" w:oddVBand="1" w:evenVBand="0" w:oddHBand="0" w:evenHBand="0" w:firstRowFirstColumn="0" w:firstRowLastColumn="0" w:lastRowFirstColumn="0" w:lastRowLastColumn="0"/>
            <w:tcW w:w="1968" w:type="dxa"/>
          </w:tcPr>
          <w:p w:rsidR="007A01BD" w:rsidRPr="00D31FB8" w:rsidRDefault="00F82531" w:rsidP="00D31FB8">
            <w:r w:rsidRPr="00D31FB8">
              <w:t>1</w:t>
            </w:r>
          </w:p>
        </w:tc>
        <w:tc>
          <w:tcPr>
            <w:cnfStyle w:val="000100000000" w:firstRow="0" w:lastRow="0" w:firstColumn="0" w:lastColumn="1" w:oddVBand="0" w:evenVBand="0" w:oddHBand="0" w:evenHBand="0" w:firstRowFirstColumn="0" w:firstRowLastColumn="0" w:lastRowFirstColumn="0" w:lastRowLastColumn="0"/>
            <w:tcW w:w="113" w:type="dxa"/>
          </w:tcPr>
          <w:p w:rsidR="007A01BD" w:rsidRPr="00D31FB8" w:rsidRDefault="007A01BD" w:rsidP="00D31FB8"/>
        </w:tc>
      </w:tr>
      <w:tr w:rsidR="00F20AFE" w:rsidRPr="00D31FB8" w:rsidTr="00D31FB8">
        <w:trPr>
          <w:trHeight w:val="440"/>
        </w:trPr>
        <w:tc>
          <w:tcPr>
            <w:cnfStyle w:val="001000000000" w:firstRow="0" w:lastRow="0" w:firstColumn="1" w:lastColumn="0" w:oddVBand="0" w:evenVBand="0" w:oddHBand="0" w:evenHBand="0" w:firstRowFirstColumn="0" w:firstRowLastColumn="0" w:lastRowFirstColumn="0" w:lastRowLastColumn="0"/>
            <w:tcW w:w="2708" w:type="dxa"/>
          </w:tcPr>
          <w:p w:rsidR="007A01BD" w:rsidRPr="00D31FB8" w:rsidRDefault="00F82531" w:rsidP="00D31FB8">
            <w:r w:rsidRPr="00D31FB8">
              <w:t>Unknown</w:t>
            </w:r>
          </w:p>
        </w:tc>
        <w:tc>
          <w:tcPr>
            <w:cnfStyle w:val="000010000000" w:firstRow="0" w:lastRow="0" w:firstColumn="0" w:lastColumn="0" w:oddVBand="1" w:evenVBand="0" w:oddHBand="0" w:evenHBand="0" w:firstRowFirstColumn="0" w:firstRowLastColumn="0" w:lastRowFirstColumn="0" w:lastRowLastColumn="0"/>
            <w:tcW w:w="2000" w:type="dxa"/>
          </w:tcPr>
          <w:p w:rsidR="007A01BD" w:rsidRPr="00D31FB8" w:rsidRDefault="00F82531" w:rsidP="00D31FB8">
            <w:r w:rsidRPr="00D31FB8">
              <w:t>0</w:t>
            </w:r>
          </w:p>
        </w:tc>
        <w:tc>
          <w:tcPr>
            <w:tcW w:w="2829" w:type="dxa"/>
          </w:tcPr>
          <w:p w:rsidR="007A01BD" w:rsidRPr="00D31FB8" w:rsidRDefault="00F82531" w:rsidP="00D31FB8">
            <w:pPr>
              <w:cnfStyle w:val="000000000000" w:firstRow="0" w:lastRow="0" w:firstColumn="0" w:lastColumn="0" w:oddVBand="0" w:evenVBand="0" w:oddHBand="0" w:evenHBand="0" w:firstRowFirstColumn="0" w:firstRowLastColumn="0" w:lastRowFirstColumn="0" w:lastRowLastColumn="0"/>
            </w:pPr>
            <w:r w:rsidRPr="00D31FB8">
              <w:t>1</w:t>
            </w:r>
          </w:p>
        </w:tc>
        <w:tc>
          <w:tcPr>
            <w:cnfStyle w:val="000010000000" w:firstRow="0" w:lastRow="0" w:firstColumn="0" w:lastColumn="0" w:oddVBand="1" w:evenVBand="0" w:oddHBand="0" w:evenHBand="0" w:firstRowFirstColumn="0" w:firstRowLastColumn="0" w:lastRowFirstColumn="0" w:lastRowLastColumn="0"/>
            <w:tcW w:w="1968" w:type="dxa"/>
          </w:tcPr>
          <w:p w:rsidR="007A01BD" w:rsidRPr="00D31FB8" w:rsidRDefault="00F82531" w:rsidP="00D31FB8">
            <w:r w:rsidRPr="00D31FB8">
              <w:t>1</w:t>
            </w:r>
          </w:p>
        </w:tc>
        <w:tc>
          <w:tcPr>
            <w:cnfStyle w:val="000100000000" w:firstRow="0" w:lastRow="0" w:firstColumn="0" w:lastColumn="1" w:oddVBand="0" w:evenVBand="0" w:oddHBand="0" w:evenHBand="0" w:firstRowFirstColumn="0" w:firstRowLastColumn="0" w:lastRowFirstColumn="0" w:lastRowLastColumn="0"/>
            <w:tcW w:w="113" w:type="dxa"/>
          </w:tcPr>
          <w:p w:rsidR="007A01BD" w:rsidRPr="00D31FB8" w:rsidRDefault="007A01BD" w:rsidP="00D31FB8"/>
        </w:tc>
      </w:tr>
      <w:tr w:rsidR="00F20AFE" w:rsidRPr="00D31FB8" w:rsidTr="00D31F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08" w:type="dxa"/>
          </w:tcPr>
          <w:p w:rsidR="007A01BD" w:rsidRPr="00D31FB8" w:rsidRDefault="00F82531" w:rsidP="00D31FB8">
            <w:r w:rsidRPr="00D31FB8">
              <w:t>Hospital</w:t>
            </w:r>
          </w:p>
        </w:tc>
        <w:tc>
          <w:tcPr>
            <w:cnfStyle w:val="000010000000" w:firstRow="0" w:lastRow="0" w:firstColumn="0" w:lastColumn="0" w:oddVBand="1" w:evenVBand="0" w:oddHBand="0" w:evenHBand="0" w:firstRowFirstColumn="0" w:firstRowLastColumn="0" w:lastRowFirstColumn="0" w:lastRowLastColumn="0"/>
            <w:tcW w:w="2000" w:type="dxa"/>
          </w:tcPr>
          <w:p w:rsidR="007A01BD" w:rsidRPr="00D31FB8" w:rsidRDefault="00F82531" w:rsidP="00D31FB8">
            <w:r w:rsidRPr="00D31FB8">
              <w:t>1</w:t>
            </w:r>
          </w:p>
        </w:tc>
        <w:tc>
          <w:tcPr>
            <w:tcW w:w="2829" w:type="dxa"/>
          </w:tcPr>
          <w:p w:rsidR="007A01BD" w:rsidRPr="00D31FB8" w:rsidRDefault="00F82531" w:rsidP="00D31FB8">
            <w:pPr>
              <w:cnfStyle w:val="000000100000" w:firstRow="0" w:lastRow="0" w:firstColumn="0" w:lastColumn="0" w:oddVBand="0" w:evenVBand="0" w:oddHBand="1" w:evenHBand="0" w:firstRowFirstColumn="0" w:firstRowLastColumn="0" w:lastRowFirstColumn="0" w:lastRowLastColumn="0"/>
            </w:pPr>
            <w:r w:rsidRPr="00D31FB8">
              <w:t>0</w:t>
            </w:r>
          </w:p>
        </w:tc>
        <w:tc>
          <w:tcPr>
            <w:cnfStyle w:val="000010000000" w:firstRow="0" w:lastRow="0" w:firstColumn="0" w:lastColumn="0" w:oddVBand="1" w:evenVBand="0" w:oddHBand="0" w:evenHBand="0" w:firstRowFirstColumn="0" w:firstRowLastColumn="0" w:lastRowFirstColumn="0" w:lastRowLastColumn="0"/>
            <w:tcW w:w="1968" w:type="dxa"/>
          </w:tcPr>
          <w:p w:rsidR="007A01BD" w:rsidRPr="00D31FB8" w:rsidRDefault="00F82531" w:rsidP="00D31FB8">
            <w:r w:rsidRPr="00D31FB8">
              <w:t>1</w:t>
            </w:r>
          </w:p>
        </w:tc>
        <w:tc>
          <w:tcPr>
            <w:cnfStyle w:val="000100000000" w:firstRow="0" w:lastRow="0" w:firstColumn="0" w:lastColumn="1" w:oddVBand="0" w:evenVBand="0" w:oddHBand="0" w:evenHBand="0" w:firstRowFirstColumn="0" w:firstRowLastColumn="0" w:lastRowFirstColumn="0" w:lastRowLastColumn="0"/>
            <w:tcW w:w="113" w:type="dxa"/>
          </w:tcPr>
          <w:p w:rsidR="007A01BD" w:rsidRPr="00D31FB8" w:rsidRDefault="007A01BD" w:rsidP="00D31FB8"/>
        </w:tc>
      </w:tr>
      <w:tr w:rsidR="00F20AFE" w:rsidRPr="00D31FB8" w:rsidTr="00D31FB8">
        <w:trPr>
          <w:trHeight w:val="460"/>
        </w:trPr>
        <w:tc>
          <w:tcPr>
            <w:cnfStyle w:val="001000000000" w:firstRow="0" w:lastRow="0" w:firstColumn="1" w:lastColumn="0" w:oddVBand="0" w:evenVBand="0" w:oddHBand="0" w:evenHBand="0" w:firstRowFirstColumn="0" w:firstRowLastColumn="0" w:lastRowFirstColumn="0" w:lastRowLastColumn="0"/>
            <w:tcW w:w="2708" w:type="dxa"/>
          </w:tcPr>
          <w:p w:rsidR="007A01BD" w:rsidRPr="00D31FB8" w:rsidRDefault="00F82531" w:rsidP="00D31FB8">
            <w:r w:rsidRPr="00D31FB8">
              <w:t>Residential care</w:t>
            </w:r>
          </w:p>
        </w:tc>
        <w:tc>
          <w:tcPr>
            <w:cnfStyle w:val="000010000000" w:firstRow="0" w:lastRow="0" w:firstColumn="0" w:lastColumn="0" w:oddVBand="1" w:evenVBand="0" w:oddHBand="0" w:evenHBand="0" w:firstRowFirstColumn="0" w:firstRowLastColumn="0" w:lastRowFirstColumn="0" w:lastRowLastColumn="0"/>
            <w:tcW w:w="2000" w:type="dxa"/>
          </w:tcPr>
          <w:p w:rsidR="007A01BD" w:rsidRPr="00D31FB8" w:rsidRDefault="00F82531" w:rsidP="00D31FB8">
            <w:r w:rsidRPr="00D31FB8">
              <w:t>0</w:t>
            </w:r>
          </w:p>
        </w:tc>
        <w:tc>
          <w:tcPr>
            <w:tcW w:w="2829" w:type="dxa"/>
          </w:tcPr>
          <w:p w:rsidR="007A01BD" w:rsidRPr="00D31FB8" w:rsidRDefault="00F82531" w:rsidP="00D31FB8">
            <w:pPr>
              <w:cnfStyle w:val="000000000000" w:firstRow="0" w:lastRow="0" w:firstColumn="0" w:lastColumn="0" w:oddVBand="0" w:evenVBand="0" w:oddHBand="0" w:evenHBand="0" w:firstRowFirstColumn="0" w:firstRowLastColumn="0" w:lastRowFirstColumn="0" w:lastRowLastColumn="0"/>
            </w:pPr>
            <w:r w:rsidRPr="00D31FB8">
              <w:t>2</w:t>
            </w:r>
          </w:p>
        </w:tc>
        <w:tc>
          <w:tcPr>
            <w:cnfStyle w:val="000010000000" w:firstRow="0" w:lastRow="0" w:firstColumn="0" w:lastColumn="0" w:oddVBand="1" w:evenVBand="0" w:oddHBand="0" w:evenHBand="0" w:firstRowFirstColumn="0" w:firstRowLastColumn="0" w:lastRowFirstColumn="0" w:lastRowLastColumn="0"/>
            <w:tcW w:w="1968" w:type="dxa"/>
          </w:tcPr>
          <w:p w:rsidR="007A01BD" w:rsidRPr="00D31FB8" w:rsidRDefault="00F82531" w:rsidP="00D31FB8">
            <w:r w:rsidRPr="00D31FB8">
              <w:t>2</w:t>
            </w:r>
          </w:p>
        </w:tc>
        <w:tc>
          <w:tcPr>
            <w:cnfStyle w:val="000100000000" w:firstRow="0" w:lastRow="0" w:firstColumn="0" w:lastColumn="1" w:oddVBand="0" w:evenVBand="0" w:oddHBand="0" w:evenHBand="0" w:firstRowFirstColumn="0" w:firstRowLastColumn="0" w:lastRowFirstColumn="0" w:lastRowLastColumn="0"/>
            <w:tcW w:w="113" w:type="dxa"/>
          </w:tcPr>
          <w:p w:rsidR="007A01BD" w:rsidRPr="00D31FB8" w:rsidRDefault="007A01BD" w:rsidP="00D31FB8"/>
        </w:tc>
      </w:tr>
      <w:tr w:rsidR="00F20AFE" w:rsidRPr="00D31FB8" w:rsidTr="00D31FB8">
        <w:trPr>
          <w:cnfStyle w:val="010000000000" w:firstRow="0" w:lastRow="1"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8" w:type="dxa"/>
          </w:tcPr>
          <w:p w:rsidR="007A01BD" w:rsidRPr="00D31FB8" w:rsidRDefault="00F82531" w:rsidP="00D31FB8">
            <w:r w:rsidRPr="00D31FB8">
              <w:t>Total</w:t>
            </w:r>
          </w:p>
        </w:tc>
        <w:tc>
          <w:tcPr>
            <w:cnfStyle w:val="000010000000" w:firstRow="0" w:lastRow="0" w:firstColumn="0" w:lastColumn="0" w:oddVBand="1" w:evenVBand="0" w:oddHBand="0" w:evenHBand="0" w:firstRowFirstColumn="0" w:firstRowLastColumn="0" w:lastRowFirstColumn="0" w:lastRowLastColumn="0"/>
            <w:tcW w:w="2000" w:type="dxa"/>
          </w:tcPr>
          <w:p w:rsidR="007A01BD" w:rsidRPr="00D31FB8" w:rsidRDefault="00F82531" w:rsidP="00D31FB8">
            <w:r w:rsidRPr="00D31FB8">
              <w:t>7</w:t>
            </w:r>
          </w:p>
        </w:tc>
        <w:tc>
          <w:tcPr>
            <w:tcW w:w="2829" w:type="dxa"/>
          </w:tcPr>
          <w:p w:rsidR="007A01BD" w:rsidRPr="00D31FB8" w:rsidRDefault="00F82531" w:rsidP="00D31FB8">
            <w:pPr>
              <w:cnfStyle w:val="010000000000" w:firstRow="0" w:lastRow="1" w:firstColumn="0" w:lastColumn="0" w:oddVBand="0" w:evenVBand="0" w:oddHBand="0" w:evenHBand="0" w:firstRowFirstColumn="0" w:firstRowLastColumn="0" w:lastRowFirstColumn="0" w:lastRowLastColumn="0"/>
            </w:pPr>
            <w:r w:rsidRPr="00D31FB8">
              <w:t>27</w:t>
            </w:r>
          </w:p>
        </w:tc>
        <w:tc>
          <w:tcPr>
            <w:cnfStyle w:val="000010000000" w:firstRow="0" w:lastRow="0" w:firstColumn="0" w:lastColumn="0" w:oddVBand="1" w:evenVBand="0" w:oddHBand="0" w:evenHBand="0" w:firstRowFirstColumn="0" w:firstRowLastColumn="0" w:lastRowFirstColumn="0" w:lastRowLastColumn="0"/>
            <w:tcW w:w="1968" w:type="dxa"/>
          </w:tcPr>
          <w:p w:rsidR="007A01BD" w:rsidRPr="00D31FB8" w:rsidRDefault="00F82531" w:rsidP="00D31FB8">
            <w:r w:rsidRPr="00D31FB8">
              <w:t>34</w:t>
            </w:r>
          </w:p>
        </w:tc>
        <w:tc>
          <w:tcPr>
            <w:cnfStyle w:val="000100000000" w:firstRow="0" w:lastRow="0" w:firstColumn="0" w:lastColumn="1" w:oddVBand="0" w:evenVBand="0" w:oddHBand="0" w:evenHBand="0" w:firstRowFirstColumn="0" w:firstRowLastColumn="0" w:lastRowFirstColumn="0" w:lastRowLastColumn="0"/>
            <w:tcW w:w="113" w:type="dxa"/>
          </w:tcPr>
          <w:p w:rsidR="007A01BD" w:rsidRPr="00D31FB8" w:rsidRDefault="007A01BD" w:rsidP="00D31FB8"/>
        </w:tc>
      </w:tr>
    </w:tbl>
    <w:p w:rsidR="007A01BD" w:rsidRPr="003F6306" w:rsidRDefault="00F82531">
      <w:pPr>
        <w:pStyle w:val="Heading3"/>
        <w:spacing w:before="233"/>
      </w:pPr>
      <w:r w:rsidRPr="003F6306">
        <w:t>Practice themes</w:t>
      </w:r>
    </w:p>
    <w:p w:rsidR="007A01BD" w:rsidRPr="003F6306" w:rsidRDefault="00F82531" w:rsidP="00F20AFE">
      <w:r w:rsidRPr="003F6306">
        <w:t>In the child death inquiries we conducted in 2016–17 we identified a number of recurring issues that prompted recommendations for improvements to services. These included:</w:t>
      </w:r>
    </w:p>
    <w:p w:rsidR="007A01BD" w:rsidRPr="003F6306" w:rsidRDefault="00F82531" w:rsidP="00F20AFE">
      <w:pPr>
        <w:pStyle w:val="Bullets"/>
      </w:pPr>
      <w:r w:rsidRPr="003F6306">
        <w:t>identification of risks to children before they are</w:t>
      </w:r>
      <w:r w:rsidRPr="003F6306">
        <w:rPr>
          <w:spacing w:val="7"/>
        </w:rPr>
        <w:t xml:space="preserve"> </w:t>
      </w:r>
      <w:r w:rsidRPr="003F6306">
        <w:t>born</w:t>
      </w:r>
    </w:p>
    <w:p w:rsidR="007A01BD" w:rsidRPr="003F6306" w:rsidRDefault="00F82531" w:rsidP="00F20AFE">
      <w:pPr>
        <w:pStyle w:val="Bullets"/>
      </w:pPr>
      <w:r w:rsidRPr="003F6306">
        <w:t>information gathering, information sharing and collaboration between</w:t>
      </w:r>
      <w:r w:rsidRPr="003F6306">
        <w:rPr>
          <w:spacing w:val="32"/>
        </w:rPr>
        <w:t xml:space="preserve"> </w:t>
      </w:r>
      <w:r w:rsidRPr="003F6306">
        <w:t>services</w:t>
      </w:r>
    </w:p>
    <w:p w:rsidR="007A01BD" w:rsidRPr="003F6306" w:rsidRDefault="00F82531" w:rsidP="00F20AFE">
      <w:pPr>
        <w:pStyle w:val="Bullets"/>
      </w:pPr>
      <w:r w:rsidRPr="003F6306">
        <w:t>responses to children who experience family</w:t>
      </w:r>
      <w:r w:rsidRPr="003F6306">
        <w:rPr>
          <w:spacing w:val="8"/>
        </w:rPr>
        <w:t xml:space="preserve"> </w:t>
      </w:r>
      <w:r w:rsidRPr="003F6306">
        <w:t>violence</w:t>
      </w:r>
    </w:p>
    <w:p w:rsidR="007A01BD" w:rsidRPr="003F6306" w:rsidRDefault="00F82531" w:rsidP="00F20AFE">
      <w:pPr>
        <w:pStyle w:val="Bullets"/>
      </w:pPr>
      <w:r w:rsidRPr="003F6306">
        <w:t>culturally-appropriate responses to Aboriginal</w:t>
      </w:r>
      <w:r w:rsidRPr="003F6306">
        <w:rPr>
          <w:spacing w:val="13"/>
        </w:rPr>
        <w:t xml:space="preserve"> </w:t>
      </w:r>
      <w:r w:rsidRPr="003F6306">
        <w:t>children</w:t>
      </w:r>
    </w:p>
    <w:p w:rsidR="00F20AFE" w:rsidRPr="00F20AFE" w:rsidRDefault="00F82531" w:rsidP="00F20AFE">
      <w:pPr>
        <w:pStyle w:val="Bullets"/>
        <w:rPr>
          <w:rFonts w:ascii="HelveticaNeue-MediumItalic"/>
          <w:i/>
        </w:rPr>
      </w:pPr>
      <w:r w:rsidRPr="003F6306">
        <w:t>planning supports for infants who are at high risk of</w:t>
      </w:r>
      <w:r w:rsidRPr="003F6306">
        <w:rPr>
          <w:spacing w:val="5"/>
        </w:rPr>
        <w:t xml:space="preserve"> </w:t>
      </w:r>
      <w:r w:rsidRPr="003F6306">
        <w:t>harm.</w:t>
      </w:r>
    </w:p>
    <w:p w:rsidR="007A01BD" w:rsidRPr="003F6306" w:rsidRDefault="00F20AFE" w:rsidP="00D31FB8">
      <w:pPr>
        <w:pStyle w:val="Heading4"/>
      </w:pPr>
      <w:r w:rsidRPr="003F6306">
        <w:t xml:space="preserve"> </w:t>
      </w:r>
      <w:r w:rsidR="00F82531" w:rsidRPr="003F6306">
        <w:t>Unborn child reports</w:t>
      </w:r>
    </w:p>
    <w:p w:rsidR="007A01BD" w:rsidRPr="003F6306" w:rsidRDefault="00F82531" w:rsidP="00F20AFE">
      <w:r w:rsidRPr="003F6306">
        <w:t xml:space="preserve">The </w:t>
      </w:r>
      <w:r w:rsidRPr="003F6306">
        <w:rPr>
          <w:spacing w:val="-3"/>
        </w:rPr>
        <w:t xml:space="preserve">CYF </w:t>
      </w:r>
      <w:r w:rsidRPr="003F6306">
        <w:t xml:space="preserve">Act allows Child Protection </w:t>
      </w:r>
      <w:r w:rsidRPr="003F6306">
        <w:rPr>
          <w:spacing w:val="-3"/>
        </w:rPr>
        <w:t xml:space="preserve">to </w:t>
      </w:r>
      <w:r w:rsidRPr="003F6306">
        <w:t xml:space="preserve">receive unborn child reports. These reports allow people </w:t>
      </w:r>
      <w:r w:rsidRPr="003F6306">
        <w:rPr>
          <w:spacing w:val="-3"/>
        </w:rPr>
        <w:t xml:space="preserve">to </w:t>
      </w:r>
      <w:r w:rsidRPr="003F6306">
        <w:t xml:space="preserve">make a report </w:t>
      </w:r>
      <w:r w:rsidRPr="003F6306">
        <w:rPr>
          <w:spacing w:val="-3"/>
        </w:rPr>
        <w:t xml:space="preserve">to </w:t>
      </w:r>
      <w:r w:rsidRPr="003F6306">
        <w:t xml:space="preserve">Child Protection when they </w:t>
      </w:r>
      <w:r w:rsidRPr="003F6306">
        <w:rPr>
          <w:spacing w:val="-3"/>
        </w:rPr>
        <w:t xml:space="preserve">have </w:t>
      </w:r>
      <w:r w:rsidRPr="003F6306">
        <w:t xml:space="preserve">a significant concern about the wellbeing of a child before birth. The purpose of these reports is </w:t>
      </w:r>
      <w:r w:rsidRPr="003F6306">
        <w:rPr>
          <w:spacing w:val="-3"/>
        </w:rPr>
        <w:t xml:space="preserve">to </w:t>
      </w:r>
      <w:r w:rsidRPr="003F6306">
        <w:t xml:space="preserve">prevent harm </w:t>
      </w:r>
      <w:r w:rsidRPr="003F6306">
        <w:rPr>
          <w:spacing w:val="-3"/>
        </w:rPr>
        <w:t xml:space="preserve">to </w:t>
      </w:r>
      <w:r w:rsidRPr="003F6306">
        <w:t xml:space="preserve">the child and provide support </w:t>
      </w:r>
      <w:r w:rsidRPr="003F6306">
        <w:rPr>
          <w:spacing w:val="-3"/>
        </w:rPr>
        <w:t xml:space="preserve">to </w:t>
      </w:r>
      <w:r w:rsidRPr="003F6306">
        <w:t xml:space="preserve">the parents of a child at </w:t>
      </w:r>
      <w:r w:rsidRPr="003F6306">
        <w:rPr>
          <w:spacing w:val="-3"/>
        </w:rPr>
        <w:t>risk.</w:t>
      </w:r>
      <w:r w:rsidR="00D31FB8">
        <w:rPr>
          <w:rStyle w:val="FootnoteReference"/>
          <w:spacing w:val="-3"/>
        </w:rPr>
        <w:footnoteReference w:id="10"/>
      </w:r>
      <w:r w:rsidRPr="003F6306">
        <w:rPr>
          <w:spacing w:val="-3"/>
          <w:position w:val="8"/>
          <w:sz w:val="12"/>
        </w:rPr>
        <w:t xml:space="preserve"> </w:t>
      </w:r>
      <w:r w:rsidRPr="003F6306">
        <w:t xml:space="preserve">This financial </w:t>
      </w:r>
      <w:r w:rsidRPr="003F6306">
        <w:rPr>
          <w:spacing w:val="-5"/>
        </w:rPr>
        <w:t xml:space="preserve">year, </w:t>
      </w:r>
      <w:r w:rsidRPr="003F6306">
        <w:t xml:space="preserve">eight of the 34 finalised child death inquiries </w:t>
      </w:r>
      <w:r w:rsidRPr="003F6306">
        <w:rPr>
          <w:spacing w:val="-2"/>
        </w:rPr>
        <w:t xml:space="preserve">(26 </w:t>
      </w:r>
      <w:r w:rsidRPr="003F6306">
        <w:t xml:space="preserve">per cent) </w:t>
      </w:r>
      <w:r w:rsidRPr="003F6306">
        <w:rPr>
          <w:spacing w:val="-3"/>
        </w:rPr>
        <w:t xml:space="preserve">involved </w:t>
      </w:r>
      <w:r w:rsidRPr="003F6306">
        <w:t>children who were the subject of unborn child reports.</w:t>
      </w:r>
    </w:p>
    <w:p w:rsidR="007A01BD" w:rsidRPr="003F6306" w:rsidRDefault="00F82531" w:rsidP="00F20AFE">
      <w:r w:rsidRPr="003F6306">
        <w:t xml:space="preserve">In some of our inquiries we found that reports were not made despite evidence of risks to an unborn child. </w:t>
      </w:r>
      <w:r w:rsidRPr="003F6306">
        <w:rPr>
          <w:spacing w:val="-3"/>
        </w:rPr>
        <w:t xml:space="preserve">We </w:t>
      </w:r>
      <w:r w:rsidRPr="003F6306">
        <w:t>also found that there were often gaps in practice in cases where  an unborn child report had been made.</w:t>
      </w:r>
      <w:r w:rsidRPr="003F6306">
        <w:rPr>
          <w:spacing w:val="30"/>
        </w:rPr>
        <w:t xml:space="preserve"> </w:t>
      </w:r>
      <w:r w:rsidRPr="003F6306">
        <w:t>Inparticular, practitioners failed to convene case conferences, which meant professionals missed the opportunity to engage with families and collaborate for an earlier, coordinated response prior to the birth of the child.</w:t>
      </w:r>
    </w:p>
    <w:p w:rsidR="00D31FB8" w:rsidRPr="0052519A" w:rsidRDefault="00D31FB8" w:rsidP="00D31FB8">
      <w:r w:rsidRPr="0052519A">
        <w:t>In many cases we also found that, following the child’s birth, services had not prepared clear intervention plans, which left vulnerable infants without adequate support and, in one case, without appropriate housing.</w:t>
      </w:r>
    </w:p>
    <w:p w:rsidR="00D31FB8" w:rsidRPr="0052519A" w:rsidRDefault="00D31FB8" w:rsidP="00D31FB8">
      <w:r w:rsidRPr="0052519A">
        <w:t>We  have  recommended  practice  guidelines be  strengthened  so  that  services  involved with the parents consistently make unborn child reports. We have also continued to make</w:t>
      </w:r>
      <w:r>
        <w:t xml:space="preserve"> </w:t>
      </w:r>
      <w:r w:rsidRPr="0052519A">
        <w:t>recommendations aimed at ensuring that case conferences with relevant professionals are consistently held following receipt of an unborn child report.</w:t>
      </w:r>
    </w:p>
    <w:p w:rsidR="00D31FB8" w:rsidRDefault="00D31FB8" w:rsidP="00D31FB8">
      <w:r w:rsidRPr="0052519A">
        <w:lastRenderedPageBreak/>
        <w:t>The department has considered our concerns and is reviewing its practice for unborn child reports.</w:t>
      </w:r>
    </w:p>
    <w:p w:rsidR="0052519A" w:rsidRDefault="00F82531" w:rsidP="00D31FB8">
      <w:pPr>
        <w:pStyle w:val="Heading4"/>
        <w:pBdr>
          <w:top w:val="single" w:sz="4" w:space="1" w:color="auto"/>
          <w:left w:val="single" w:sz="4" w:space="4" w:color="auto"/>
          <w:bottom w:val="single" w:sz="4" w:space="1" w:color="auto"/>
          <w:right w:val="single" w:sz="4" w:space="4" w:color="auto"/>
        </w:pBdr>
      </w:pPr>
      <w:r w:rsidRPr="003F6306">
        <w:t>CASE STUDY</w:t>
      </w:r>
      <w:r w:rsidR="00D31FB8">
        <w:t>:</w:t>
      </w:r>
      <w:r w:rsidR="0052519A">
        <w:t xml:space="preserve"> </w:t>
      </w:r>
      <w:r w:rsidRPr="003F6306">
        <w:t>Tom</w:t>
      </w:r>
    </w:p>
    <w:p w:rsidR="007A01BD" w:rsidRPr="003F6306" w:rsidRDefault="00F82531" w:rsidP="00D31FB8">
      <w:pPr>
        <w:pBdr>
          <w:top w:val="single" w:sz="4" w:space="1" w:color="auto"/>
          <w:left w:val="single" w:sz="4" w:space="4" w:color="auto"/>
          <w:bottom w:val="single" w:sz="4" w:space="1" w:color="auto"/>
          <w:right w:val="single" w:sz="4" w:space="4" w:color="auto"/>
        </w:pBdr>
      </w:pPr>
      <w:r w:rsidRPr="003F6306">
        <w:t>Tom died at six weeks of age. His mother had been involved with Child Protection, as a victim of emotional abuse. The hospital was concerned</w:t>
      </w:r>
      <w:r w:rsidR="00E02A7B">
        <w:t xml:space="preserve"> </w:t>
      </w:r>
      <w:r w:rsidRPr="003F6306">
        <w:t>about his mother not attending ante-natal appointments and about Tom’s parents’ living arrangements, health and drug</w:t>
      </w:r>
      <w:r w:rsidR="0052519A">
        <w:t xml:space="preserve"> </w:t>
      </w:r>
      <w:r w:rsidRPr="003F6306">
        <w:t>use. However, it did not make an unborn child report and Child Protection was not involved until after</w:t>
      </w:r>
      <w:r w:rsidR="00E02A7B">
        <w:t xml:space="preserve"> </w:t>
      </w:r>
      <w:r w:rsidRPr="003F6306">
        <w:t>Tom was born.</w:t>
      </w:r>
    </w:p>
    <w:p w:rsidR="007A01BD" w:rsidRPr="003F6306" w:rsidRDefault="00F82531" w:rsidP="00D31FB8">
      <w:pPr>
        <w:pBdr>
          <w:top w:val="single" w:sz="4" w:space="1" w:color="auto"/>
          <w:left w:val="single" w:sz="4" w:space="4" w:color="auto"/>
          <w:bottom w:val="single" w:sz="4" w:space="1" w:color="auto"/>
          <w:right w:val="single" w:sz="4" w:space="4" w:color="auto"/>
        </w:pBdr>
      </w:pPr>
      <w:r w:rsidRPr="003F6306">
        <w:t>We found that the absence of an unborn child report meant that services did not have an opportunity to plan the appropriate support for Tom and</w:t>
      </w:r>
      <w:r w:rsidR="001B0147" w:rsidRPr="003F6306">
        <w:t xml:space="preserve"> </w:t>
      </w:r>
      <w:r w:rsidRPr="003F6306">
        <w:t>his family.</w:t>
      </w:r>
    </w:p>
    <w:p w:rsidR="007A01BD" w:rsidRPr="003F6306" w:rsidRDefault="00F82531" w:rsidP="00D31FB8">
      <w:pPr>
        <w:pBdr>
          <w:top w:val="single" w:sz="4" w:space="1" w:color="auto"/>
          <w:left w:val="single" w:sz="4" w:space="4" w:color="auto"/>
          <w:bottom w:val="single" w:sz="4" w:space="1" w:color="auto"/>
          <w:right w:val="single" w:sz="4" w:space="4" w:color="auto"/>
        </w:pBdr>
        <w:rPr>
          <w:rFonts w:ascii="HelveticaNeue-Light"/>
          <w:sz w:val="24"/>
        </w:rPr>
      </w:pPr>
      <w:r w:rsidRPr="003F6306">
        <w:t>We recommended that DHHS work with the hospital to ensure that workers understood the importance of unborn child reports. We also recommended that Child Protection strengthen its monitoring of high-risk infants.</w:t>
      </w:r>
    </w:p>
    <w:p w:rsidR="007A01BD" w:rsidRPr="003F6306" w:rsidRDefault="00F82531" w:rsidP="00B016EC">
      <w:pPr>
        <w:pStyle w:val="Heading4"/>
      </w:pPr>
      <w:r w:rsidRPr="003F6306">
        <w:t>Information gathering, information sharing, and  service collaboration</w:t>
      </w:r>
    </w:p>
    <w:p w:rsidR="007A01BD" w:rsidRPr="003F6306" w:rsidRDefault="00F82531" w:rsidP="0052519A">
      <w:r w:rsidRPr="003F6306">
        <w:t>Victoria’s Child Protection Manual has extensive guidance on what workers need to do to ensure services have all the information they need to form an accurate picture of a child’s needs. This includes meeting to share information and plan any interventions needed.</w:t>
      </w:r>
    </w:p>
    <w:p w:rsidR="007A01BD" w:rsidRPr="003F6306" w:rsidRDefault="00F82531" w:rsidP="0052519A">
      <w:r w:rsidRPr="003F6306">
        <w:t xml:space="preserve">When services do not share information, they  do not have all the necessary background to make a robust assessment that considers all the risks to a child. In addition, when services do  not meet and plan interventions, their responses can be uncoordinated and less effective. In </w:t>
      </w:r>
      <w:r w:rsidRPr="003F6306">
        <w:rPr>
          <w:spacing w:val="-3"/>
        </w:rPr>
        <w:t xml:space="preserve">21 </w:t>
      </w:r>
      <w:r w:rsidRPr="003F6306">
        <w:t>out of the 34 child death inquiries we finalised, we found that information was not shared or services did not</w:t>
      </w:r>
      <w:r w:rsidRPr="003F6306">
        <w:rPr>
          <w:spacing w:val="16"/>
        </w:rPr>
        <w:t xml:space="preserve"> </w:t>
      </w:r>
      <w:r w:rsidRPr="003F6306">
        <w:t>collaborate.</w:t>
      </w:r>
    </w:p>
    <w:p w:rsidR="007A01BD" w:rsidRPr="003F6306" w:rsidRDefault="00F82531" w:rsidP="0052519A">
      <w:r w:rsidRPr="003F6306">
        <w:t>A strong theme in these cases was that services are often unsure about whether, and if so when, they are permitted to share information to protect the safety and wellbeing of a child or young</w:t>
      </w:r>
      <w:r w:rsidRPr="003F6306">
        <w:rPr>
          <w:spacing w:val="6"/>
        </w:rPr>
        <w:t xml:space="preserve"> </w:t>
      </w:r>
      <w:r w:rsidRPr="003F6306">
        <w:t>person.</w:t>
      </w:r>
    </w:p>
    <w:p w:rsidR="007A01BD" w:rsidRPr="003F6306" w:rsidRDefault="00F82531" w:rsidP="0052519A">
      <w:r w:rsidRPr="003F6306">
        <w:t>This year we have called for the progression of legislative reforms and training that will promote appropriate information sharing between health services, human services, schools, and other service providers for the purpose of ensuring the health and wellbeing of vulnerable children and young people.</w:t>
      </w:r>
    </w:p>
    <w:p w:rsidR="007A01BD" w:rsidRPr="003F6306" w:rsidRDefault="00F82531" w:rsidP="0052519A">
      <w:r w:rsidRPr="003F6306">
        <w:t xml:space="preserve">Our advocacy has also influenced the  </w:t>
      </w:r>
      <w:r w:rsidRPr="003F6306">
        <w:rPr>
          <w:i/>
        </w:rPr>
        <w:t xml:space="preserve">Healthcare that Counts </w:t>
      </w:r>
      <w:r w:rsidRPr="003F6306">
        <w:t>framework, which should ensure that health services, including mental health services, are clear about when</w:t>
      </w:r>
      <w:r w:rsidRPr="003F6306">
        <w:rPr>
          <w:spacing w:val="35"/>
        </w:rPr>
        <w:t xml:space="preserve"> </w:t>
      </w:r>
      <w:r w:rsidRPr="003F6306">
        <w:t>and</w:t>
      </w:r>
      <w:r w:rsidR="0052519A">
        <w:t xml:space="preserve"> </w:t>
      </w:r>
      <w:r w:rsidRPr="003F6306">
        <w:t>how information can be shared to protect and support vulnerable children and young people.</w:t>
      </w:r>
    </w:p>
    <w:p w:rsidR="002B2DBB" w:rsidRDefault="002B2DBB">
      <w:pPr>
        <w:spacing w:before="0"/>
        <w:rPr>
          <w:rFonts w:eastAsiaTheme="majorEastAsia"/>
          <w:b/>
          <w:i/>
          <w:iCs/>
          <w:sz w:val="20"/>
        </w:rPr>
      </w:pPr>
      <w:r>
        <w:br w:type="page"/>
      </w:r>
    </w:p>
    <w:p w:rsidR="00B016EC" w:rsidRPr="003F6306" w:rsidRDefault="00B016EC" w:rsidP="00B016EC">
      <w:pPr>
        <w:pStyle w:val="Heading4"/>
      </w:pPr>
      <w:r w:rsidRPr="003F6306">
        <w:lastRenderedPageBreak/>
        <w:t>Family violence</w:t>
      </w:r>
    </w:p>
    <w:p w:rsidR="00B016EC" w:rsidRPr="003F6306" w:rsidRDefault="00B016EC" w:rsidP="00B016EC">
      <w:r w:rsidRPr="003F6306">
        <w:t xml:space="preserve">Child death inquiries continued to present the same problems we identified in our inquiry report </w:t>
      </w:r>
      <w:r w:rsidRPr="003F6306">
        <w:rPr>
          <w:i/>
        </w:rPr>
        <w:t>Neither seen nor heard</w:t>
      </w:r>
      <w:r w:rsidRPr="003F6306">
        <w:t>.</w:t>
      </w:r>
    </w:p>
    <w:p w:rsidR="00B016EC" w:rsidRDefault="00B016EC" w:rsidP="00B016EC">
      <w:r w:rsidRPr="0052519A">
        <w:t>In the 34 cases reviewed in 2016–17, at least 21 of the children had experienced family violence.</w:t>
      </w:r>
      <w:r>
        <w:rPr>
          <w:rStyle w:val="FootnoteReference"/>
        </w:rPr>
        <w:footnoteReference w:id="11"/>
      </w:r>
      <w:r w:rsidRPr="0052519A">
        <w:t xml:space="preserve"> However, there was little evidence of services engaging with them about their</w:t>
      </w:r>
      <w:r>
        <w:t xml:space="preserve"> </w:t>
      </w:r>
      <w:r w:rsidRPr="0052519A">
        <w:t>experiences. Child Protection sometimes closed cases without direct contact with the child or young person, at times despite repeated reports of family violence. In six child death inquiries</w:t>
      </w:r>
      <w:r>
        <w:t xml:space="preserve"> </w:t>
      </w:r>
      <w:r w:rsidRPr="003F6306">
        <w:t>involving family violence, the child had limited or no direct contact with services. We have urged DHHS to implement the recommendations</w:t>
      </w:r>
      <w:r>
        <w:t xml:space="preserve"> </w:t>
      </w:r>
      <w:r w:rsidRPr="0052519A">
        <w:t>of Neither seen nor heard and the Royal Commission into Family Violence, particularly given that we continue to find intervention has not focused on the needs of children and</w:t>
      </w:r>
      <w:r>
        <w:t xml:space="preserve"> </w:t>
      </w:r>
      <w:r w:rsidRPr="0052519A">
        <w:t>young people, and they were not provided with meaningful support to address the impact of family violence on their development.</w:t>
      </w:r>
    </w:p>
    <w:p w:rsidR="001B0147" w:rsidRPr="0052519A" w:rsidRDefault="001B0147" w:rsidP="002B2DBB">
      <w:pPr>
        <w:pStyle w:val="Heading4"/>
        <w:pBdr>
          <w:top w:val="single" w:sz="4" w:space="1" w:color="auto"/>
          <w:left w:val="single" w:sz="4" w:space="4" w:color="auto"/>
          <w:bottom w:val="single" w:sz="4" w:space="1" w:color="auto"/>
          <w:right w:val="single" w:sz="4" w:space="4" w:color="auto"/>
        </w:pBdr>
      </w:pPr>
      <w:r w:rsidRPr="003F6306">
        <w:t>CASE STUDY</w:t>
      </w:r>
      <w:r w:rsidR="00D31FB8">
        <w:t xml:space="preserve">: </w:t>
      </w:r>
      <w:r w:rsidRPr="0052519A">
        <w:t>Maddie</w:t>
      </w:r>
    </w:p>
    <w:p w:rsidR="001B0147" w:rsidRPr="0052519A" w:rsidRDefault="001B0147" w:rsidP="002B2DBB">
      <w:pPr>
        <w:pBdr>
          <w:top w:val="single" w:sz="4" w:space="1" w:color="auto"/>
          <w:left w:val="single" w:sz="4" w:space="4" w:color="auto"/>
          <w:bottom w:val="single" w:sz="4" w:space="1" w:color="auto"/>
          <w:right w:val="single" w:sz="4" w:space="4" w:color="auto"/>
        </w:pBdr>
      </w:pPr>
      <w:r w:rsidRPr="0052519A">
        <w:t>Child protection received two reports when Maddie was aged 15. Both related to a conflict between Maddie and her parents, and both were assessed as wellbeing reports, meaning that they were not investigated.</w:t>
      </w:r>
    </w:p>
    <w:p w:rsidR="001B0147" w:rsidRPr="0052519A" w:rsidRDefault="001B0147" w:rsidP="002B2DBB">
      <w:pPr>
        <w:pBdr>
          <w:top w:val="single" w:sz="4" w:space="1" w:color="auto"/>
          <w:left w:val="single" w:sz="4" w:space="4" w:color="auto"/>
          <w:bottom w:val="single" w:sz="4" w:space="1" w:color="auto"/>
          <w:right w:val="single" w:sz="4" w:space="4" w:color="auto"/>
        </w:pBdr>
      </w:pPr>
      <w:r w:rsidRPr="0052519A">
        <w:t>Maddie had an extensive involvement with services for mental illness and addiction. She made multiple suicide attempts after she began abusing substances at 14.</w:t>
      </w:r>
    </w:p>
    <w:p w:rsidR="001B0147" w:rsidRPr="0052519A" w:rsidRDefault="001B0147" w:rsidP="002B2DBB">
      <w:pPr>
        <w:pBdr>
          <w:top w:val="single" w:sz="4" w:space="1" w:color="auto"/>
          <w:left w:val="single" w:sz="4" w:space="4" w:color="auto"/>
          <w:bottom w:val="single" w:sz="4" w:space="1" w:color="auto"/>
          <w:right w:val="single" w:sz="4" w:space="4" w:color="auto"/>
        </w:pBdr>
      </w:pPr>
      <w:r w:rsidRPr="0052519A">
        <w:t>After taking a combination of substances, she presented to the emergency department expressing suicidal ideation.</w:t>
      </w:r>
    </w:p>
    <w:p w:rsidR="001B0147" w:rsidRPr="0052519A" w:rsidRDefault="001B0147" w:rsidP="002B2DBB">
      <w:pPr>
        <w:pBdr>
          <w:top w:val="single" w:sz="4" w:space="1" w:color="auto"/>
          <w:left w:val="single" w:sz="4" w:space="4" w:color="auto"/>
          <w:bottom w:val="single" w:sz="4" w:space="1" w:color="auto"/>
          <w:right w:val="single" w:sz="4" w:space="4" w:color="auto"/>
        </w:pBdr>
      </w:pPr>
      <w:r w:rsidRPr="0052519A">
        <w:t>Mental health services did not share this information with other services. Inparticular, Maddie’s school knew nothing of her circumstances because she would not consent to share this information.</w:t>
      </w:r>
    </w:p>
    <w:p w:rsidR="001B0147" w:rsidRPr="0052519A" w:rsidRDefault="001B0147" w:rsidP="002B2DBB">
      <w:pPr>
        <w:pBdr>
          <w:top w:val="single" w:sz="4" w:space="1" w:color="auto"/>
          <w:left w:val="single" w:sz="4" w:space="4" w:color="auto"/>
          <w:bottom w:val="single" w:sz="4" w:space="1" w:color="auto"/>
          <w:right w:val="single" w:sz="4" w:space="4" w:color="auto"/>
        </w:pBdr>
      </w:pPr>
      <w:r w:rsidRPr="0052519A">
        <w:t>Although the law allows information to be shared when there is a serious and imminent threat to a child’s life, health, safety or welfare, services told</w:t>
      </w:r>
      <w:r w:rsidR="002B2DBB">
        <w:t xml:space="preserve"> </w:t>
      </w:r>
      <w:r w:rsidRPr="0052519A">
        <w:t>us they were unsure if privacy legislation permitted them to share information about Maddie, because consent had been refused.</w:t>
      </w:r>
      <w:r w:rsidR="002B2DBB">
        <w:rPr>
          <w:rStyle w:val="FootnoteReference"/>
        </w:rPr>
        <w:footnoteReference w:id="12"/>
      </w:r>
    </w:p>
    <w:p w:rsidR="00B016EC" w:rsidRDefault="00B016EC" w:rsidP="00B016EC"/>
    <w:p w:rsidR="001B0147" w:rsidRPr="0052519A" w:rsidRDefault="001B0147" w:rsidP="00B016EC">
      <w:pPr>
        <w:pStyle w:val="Heading4"/>
        <w:pBdr>
          <w:top w:val="single" w:sz="4" w:space="1" w:color="auto"/>
          <w:left w:val="single" w:sz="4" w:space="4" w:color="auto"/>
          <w:bottom w:val="single" w:sz="4" w:space="1" w:color="auto"/>
          <w:right w:val="single" w:sz="4" w:space="4" w:color="auto"/>
        </w:pBdr>
      </w:pPr>
      <w:r w:rsidRPr="003F6306">
        <w:t>CASE STUDY</w:t>
      </w:r>
      <w:r w:rsidR="00B016EC">
        <w:t xml:space="preserve">: </w:t>
      </w:r>
      <w:r w:rsidRPr="0052519A">
        <w:t>Olivia</w:t>
      </w:r>
    </w:p>
    <w:p w:rsidR="001B0147" w:rsidRPr="0052519A" w:rsidRDefault="001B0147" w:rsidP="00B016EC">
      <w:pPr>
        <w:pBdr>
          <w:top w:val="single" w:sz="4" w:space="1" w:color="auto"/>
          <w:left w:val="single" w:sz="4" w:space="4" w:color="auto"/>
          <w:bottom w:val="single" w:sz="4" w:space="1" w:color="auto"/>
          <w:right w:val="single" w:sz="4" w:space="4" w:color="auto"/>
        </w:pBdr>
      </w:pPr>
      <w:r w:rsidRPr="0052519A">
        <w:t>Olivia was 15 years old when she died in an accident. Although she appeared to be popular and happy, she did not attend school regularly.</w:t>
      </w:r>
    </w:p>
    <w:p w:rsidR="001B0147" w:rsidRPr="0052519A" w:rsidRDefault="001B0147" w:rsidP="00B016EC">
      <w:pPr>
        <w:pBdr>
          <w:top w:val="single" w:sz="4" w:space="1" w:color="auto"/>
          <w:left w:val="single" w:sz="4" w:space="4" w:color="auto"/>
          <w:bottom w:val="single" w:sz="4" w:space="1" w:color="auto"/>
          <w:right w:val="single" w:sz="4" w:space="4" w:color="auto"/>
        </w:pBdr>
      </w:pPr>
      <w:r w:rsidRPr="0052519A">
        <w:t>The school was not aware that Olivia had been reported to Child Protection 13 times since her birth — eight of these reports were made when she was 12.</w:t>
      </w:r>
    </w:p>
    <w:p w:rsidR="001B0147" w:rsidRPr="0052519A" w:rsidRDefault="001B0147" w:rsidP="00B016EC">
      <w:pPr>
        <w:pBdr>
          <w:top w:val="single" w:sz="4" w:space="1" w:color="auto"/>
          <w:left w:val="single" w:sz="4" w:space="4" w:color="auto"/>
          <w:bottom w:val="single" w:sz="4" w:space="1" w:color="auto"/>
          <w:right w:val="single" w:sz="4" w:space="4" w:color="auto"/>
        </w:pBdr>
      </w:pPr>
      <w:r w:rsidRPr="0052519A">
        <w:t>Although many of these reports raised concerns about family violence, seven were closed without a full investigation.</w:t>
      </w:r>
    </w:p>
    <w:p w:rsidR="001B0147" w:rsidRPr="0052519A" w:rsidRDefault="001B0147" w:rsidP="00B016EC">
      <w:pPr>
        <w:pBdr>
          <w:top w:val="single" w:sz="4" w:space="1" w:color="auto"/>
          <w:left w:val="single" w:sz="4" w:space="4" w:color="auto"/>
          <w:bottom w:val="single" w:sz="4" w:space="1" w:color="auto"/>
          <w:right w:val="single" w:sz="4" w:space="4" w:color="auto"/>
        </w:pBdr>
      </w:pPr>
      <w:r w:rsidRPr="0052519A">
        <w:t>This meant that Olivia’s  experience of family violence was never well understood, nor was she adequately supported. Each report about Olivia should have been reviewed in light of new information.</w:t>
      </w:r>
    </w:p>
    <w:p w:rsidR="007A01BD" w:rsidRPr="003F6306" w:rsidRDefault="00F82531" w:rsidP="00B016EC">
      <w:pPr>
        <w:pStyle w:val="Heading4"/>
      </w:pPr>
      <w:r w:rsidRPr="003F6306">
        <w:lastRenderedPageBreak/>
        <w:t>Experience of Aboriginal children</w:t>
      </w:r>
    </w:p>
    <w:p w:rsidR="007A01BD" w:rsidRPr="003F6306" w:rsidRDefault="00F82531" w:rsidP="0052519A">
      <w:r w:rsidRPr="003F6306">
        <w:t>Across the six child death inquiries relating to Aboriginal children and young people we</w:t>
      </w:r>
      <w:r w:rsidR="0052519A">
        <w:t xml:space="preserve"> </w:t>
      </w:r>
      <w:r w:rsidRPr="003F6306">
        <w:t>conducted this year, we found that an ongoing issue was a lack of understanding of Aboriginal</w:t>
      </w:r>
    </w:p>
    <w:p w:rsidR="007A01BD" w:rsidRPr="003F6306" w:rsidRDefault="00F82531" w:rsidP="0052519A">
      <w:r w:rsidRPr="003F6306">
        <w:t xml:space="preserve">inter-generational trauma and its impact on children and their families. Services must  better understand the importance of culture and identity in an Aboriginal child’s life. </w:t>
      </w:r>
      <w:r w:rsidRPr="003F6306">
        <w:rPr>
          <w:spacing w:val="-3"/>
        </w:rPr>
        <w:t xml:space="preserve">We </w:t>
      </w:r>
      <w:r w:rsidRPr="003F6306">
        <w:t xml:space="preserve">uncovered missed opportunities to respond to complex issues in a culturally-appropriate </w:t>
      </w:r>
      <w:r w:rsidRPr="003F6306">
        <w:rPr>
          <w:spacing w:val="-4"/>
        </w:rPr>
        <w:t xml:space="preserve">way. </w:t>
      </w:r>
      <w:r w:rsidRPr="003F6306">
        <w:t>For example, consultation with the ACSASS did not consistently occur. Sometimes this was due to the service not being proactive, other times it was a lack of staff or lack of follow-up by Child Protection. In addition, services rarely came together, which limited</w:t>
      </w:r>
      <w:r w:rsidRPr="003F6306">
        <w:rPr>
          <w:spacing w:val="10"/>
        </w:rPr>
        <w:t xml:space="preserve"> </w:t>
      </w:r>
      <w:r w:rsidRPr="003F6306">
        <w:t>opportunities</w:t>
      </w:r>
      <w:r w:rsidR="00B016EC">
        <w:t xml:space="preserve"> </w:t>
      </w:r>
      <w:r w:rsidRPr="003F6306">
        <w:t>for collaboration, information sharing and the development of cultural plans.</w:t>
      </w:r>
    </w:p>
    <w:p w:rsidR="00B016EC" w:rsidRPr="0052519A" w:rsidRDefault="00B016EC" w:rsidP="00B016EC">
      <w:pPr>
        <w:pStyle w:val="Heading4"/>
        <w:pBdr>
          <w:top w:val="single" w:sz="4" w:space="1" w:color="auto"/>
          <w:left w:val="single" w:sz="4" w:space="4" w:color="auto"/>
          <w:bottom w:val="single" w:sz="4" w:space="1" w:color="auto"/>
          <w:right w:val="single" w:sz="4" w:space="4" w:color="auto"/>
        </w:pBdr>
      </w:pPr>
      <w:r w:rsidRPr="0052519A">
        <w:t>CASE STUDY</w:t>
      </w:r>
      <w:r>
        <w:t>:</w:t>
      </w:r>
      <w:r w:rsidRPr="00B016EC">
        <w:t xml:space="preserve"> </w:t>
      </w:r>
      <w:r w:rsidRPr="0052519A">
        <w:t>Elliot</w:t>
      </w:r>
    </w:p>
    <w:p w:rsidR="00B016EC" w:rsidRPr="0052519A" w:rsidRDefault="00B016EC" w:rsidP="00B016EC">
      <w:pPr>
        <w:pBdr>
          <w:top w:val="single" w:sz="4" w:space="1" w:color="auto"/>
          <w:left w:val="single" w:sz="4" w:space="4" w:color="auto"/>
          <w:bottom w:val="single" w:sz="4" w:space="1" w:color="auto"/>
          <w:right w:val="single" w:sz="4" w:space="4" w:color="auto"/>
        </w:pBdr>
      </w:pPr>
      <w:r w:rsidRPr="0052519A">
        <w:t>Elliot, an Aboriginal infant, passed away from illness after several stays in hospital. Child Protection became involved with Elliot after an episode of family violence between his parents and because of concerns for their mental health.</w:t>
      </w:r>
    </w:p>
    <w:p w:rsidR="00B016EC" w:rsidRDefault="00B016EC" w:rsidP="00B016EC">
      <w:pPr>
        <w:pBdr>
          <w:top w:val="single" w:sz="4" w:space="1" w:color="auto"/>
          <w:left w:val="single" w:sz="4" w:space="4" w:color="auto"/>
          <w:bottom w:val="single" w:sz="4" w:space="1" w:color="auto"/>
          <w:right w:val="single" w:sz="4" w:space="4" w:color="auto"/>
        </w:pBdr>
      </w:pPr>
      <w:r w:rsidRPr="0052519A">
        <w:t>Our inquiry found that the hospital had not originally identified Elliot and his parents as Aboriginal. This delayed Elliot and his family being connected with Aboriginal services, which could have supported Elliot and his mother in a culturally-appropriate way. We also found that when Elliot was ready for discharge, Child Protection did not properly asse</w:t>
      </w:r>
      <w:r w:rsidR="00E02A7B">
        <w:t>s</w:t>
      </w:r>
      <w:r w:rsidRPr="0052519A">
        <w:t>s the risks to him, including the risk of family violence that he and his mother were facing.</w:t>
      </w:r>
    </w:p>
    <w:p w:rsidR="00B016EC" w:rsidRDefault="00B016EC" w:rsidP="00B016EC">
      <w:pPr>
        <w:pBdr>
          <w:top w:val="single" w:sz="4" w:space="1" w:color="auto"/>
          <w:left w:val="single" w:sz="4" w:space="4" w:color="auto"/>
          <w:bottom w:val="single" w:sz="4" w:space="1" w:color="auto"/>
          <w:right w:val="single" w:sz="4" w:space="4" w:color="auto"/>
        </w:pBdr>
      </w:pPr>
      <w:r w:rsidRPr="003F6306">
        <w:t xml:space="preserve">Some of the issues we identified in Elliot’s case are being addressed through the implementation of recommendations made by the Royal Commission into Family Violence, which we monitor closely. In addition, since Elliot’s death, and in response </w:t>
      </w:r>
      <w:r w:rsidRPr="003F6306">
        <w:rPr>
          <w:spacing w:val="-3"/>
        </w:rPr>
        <w:t xml:space="preserve">to </w:t>
      </w:r>
      <w:r w:rsidRPr="003F6306">
        <w:t>a similar case, DHHS has developed a practice advice about identifying Aboriginal children and families, which outlines why collecting  this information can support them and how it can ensure appropriate services are engaged at the right time</w:t>
      </w:r>
    </w:p>
    <w:p w:rsidR="007A01BD" w:rsidRPr="003F6306" w:rsidRDefault="00F82531" w:rsidP="00B016EC">
      <w:pPr>
        <w:pStyle w:val="Heading4"/>
      </w:pPr>
      <w:r w:rsidRPr="003F6306">
        <w:t>High-risk infants</w:t>
      </w:r>
    </w:p>
    <w:p w:rsidR="007A01BD" w:rsidRPr="003F6306" w:rsidRDefault="00F82531" w:rsidP="0052519A">
      <w:r w:rsidRPr="003F6306">
        <w:t>Victoria’s Child Protection Manual provides guidance to workers about the steps to take to ensure the safety of children under two years who are deemed to be at particular risk</w:t>
      </w:r>
    </w:p>
    <w:p w:rsidR="007A01BD" w:rsidRPr="003F6306" w:rsidRDefault="00F82531" w:rsidP="0052519A">
      <w:r w:rsidRPr="003F6306">
        <w:t>of harm. It lists indicators of risk factors, appropriate responses and information that should be gathered.</w:t>
      </w:r>
    </w:p>
    <w:p w:rsidR="007A01BD" w:rsidRPr="003F6306" w:rsidRDefault="00F82531" w:rsidP="0052519A">
      <w:r w:rsidRPr="003F6306">
        <w:t>Our child death inquiries found Child Protection staff did not follow guidelines about infants  with a high-risk status. In particular,</w:t>
      </w:r>
      <w:r w:rsidRPr="003F6306">
        <w:rPr>
          <w:spacing w:val="25"/>
        </w:rPr>
        <w:t xml:space="preserve"> </w:t>
      </w:r>
      <w:r w:rsidRPr="003F6306">
        <w:t>contrary</w:t>
      </w:r>
      <w:r w:rsidR="00B016EC">
        <w:t xml:space="preserve"> </w:t>
      </w:r>
      <w:r w:rsidRPr="003F6306">
        <w:t>to practice guidelines, Child Protection practitioners failed to hold case conferences with other services and so did not have vital information necessary to assess risks and respond to the needs of high-risk infants.</w:t>
      </w:r>
    </w:p>
    <w:p w:rsidR="007A01BD" w:rsidRPr="003F6306" w:rsidRDefault="00F82531" w:rsidP="0052519A">
      <w:r w:rsidRPr="003F6306">
        <w:t>We also found that services, including Child Protection, did not adequately assess and respond to the risks posed by factors such as drug use and family violence to high-risk infants.</w:t>
      </w:r>
    </w:p>
    <w:p w:rsidR="007A01BD" w:rsidRPr="003F6306" w:rsidRDefault="00F82531" w:rsidP="001B0147">
      <w:r w:rsidRPr="003F6306">
        <w:t>Our recommendations about high-risk infants</w:t>
      </w:r>
      <w:r w:rsidR="0052519A">
        <w:t xml:space="preserve"> </w:t>
      </w:r>
      <w:r w:rsidRPr="003F6306">
        <w:t>have contributed to practice improvements. Training and education materials have been improved, and measures have been put in place to enhance the supervision provided to Child Protection practitioners working with high-risk infants. Recommendations in our child death inquiries are also being considered as part of</w:t>
      </w:r>
      <w:r w:rsidR="00B016EC">
        <w:t xml:space="preserve"> </w:t>
      </w:r>
      <w:r w:rsidRPr="003F6306">
        <w:t>a review of maternal and child health service practice guidelines.</w:t>
      </w:r>
    </w:p>
    <w:p w:rsidR="001B0147" w:rsidRPr="003F6306" w:rsidRDefault="001B0147" w:rsidP="00B016EC">
      <w:pPr>
        <w:pStyle w:val="Heading4"/>
        <w:pBdr>
          <w:top w:val="single" w:sz="4" w:space="1" w:color="auto"/>
          <w:left w:val="single" w:sz="4" w:space="4" w:color="auto"/>
          <w:bottom w:val="single" w:sz="4" w:space="1" w:color="auto"/>
          <w:right w:val="single" w:sz="4" w:space="4" w:color="auto"/>
        </w:pBdr>
      </w:pPr>
      <w:r w:rsidRPr="003F6306">
        <w:lastRenderedPageBreak/>
        <w:t>CASE STUDY</w:t>
      </w:r>
      <w:r w:rsidR="00B016EC">
        <w:t>:</w:t>
      </w:r>
      <w:r w:rsidR="0052519A">
        <w:t xml:space="preserve"> </w:t>
      </w:r>
      <w:r w:rsidRPr="003F6306">
        <w:t>Aisha</w:t>
      </w:r>
    </w:p>
    <w:p w:rsidR="001B0147" w:rsidRPr="003F6306" w:rsidRDefault="001B0147" w:rsidP="00B016EC">
      <w:pPr>
        <w:pBdr>
          <w:top w:val="single" w:sz="4" w:space="1" w:color="auto"/>
          <w:left w:val="single" w:sz="4" w:space="4" w:color="auto"/>
          <w:bottom w:val="single" w:sz="4" w:space="1" w:color="auto"/>
          <w:right w:val="single" w:sz="4" w:space="4" w:color="auto"/>
        </w:pBdr>
      </w:pPr>
      <w:r w:rsidRPr="003F6306">
        <w:t xml:space="preserve">Aisha was a vulnerable infant, born with complex medical needs, who lived for only 30 days. She was the subject of an unborn child report due </w:t>
      </w:r>
      <w:r w:rsidRPr="003F6306">
        <w:rPr>
          <w:spacing w:val="-3"/>
        </w:rPr>
        <w:t xml:space="preserve">to </w:t>
      </w:r>
      <w:r w:rsidRPr="003F6306">
        <w:t xml:space="preserve">concerns about her </w:t>
      </w:r>
      <w:r w:rsidRPr="003F6306">
        <w:rPr>
          <w:spacing w:val="-3"/>
        </w:rPr>
        <w:t xml:space="preserve">mother’s </w:t>
      </w:r>
      <w:r w:rsidRPr="003F6306">
        <w:t xml:space="preserve">ability </w:t>
      </w:r>
      <w:r w:rsidRPr="003F6306">
        <w:rPr>
          <w:spacing w:val="-3"/>
        </w:rPr>
        <w:t xml:space="preserve">to </w:t>
      </w:r>
      <w:r w:rsidRPr="003F6306">
        <w:t xml:space="preserve">care for </w:t>
      </w:r>
      <w:r w:rsidRPr="003F6306">
        <w:rPr>
          <w:spacing w:val="-4"/>
        </w:rPr>
        <w:t xml:space="preserve">her. </w:t>
      </w:r>
      <w:r w:rsidRPr="003F6306">
        <w:t>Child protection supported</w:t>
      </w:r>
      <w:r w:rsidRPr="003F6306">
        <w:rPr>
          <w:spacing w:val="12"/>
        </w:rPr>
        <w:t xml:space="preserve"> </w:t>
      </w:r>
      <w:r w:rsidRPr="003F6306">
        <w:rPr>
          <w:spacing w:val="-3"/>
        </w:rPr>
        <w:t>Aisha’s</w:t>
      </w:r>
      <w:r w:rsidR="00B016EC">
        <w:rPr>
          <w:spacing w:val="-3"/>
        </w:rPr>
        <w:t xml:space="preserve"> </w:t>
      </w:r>
      <w:r w:rsidRPr="003F6306">
        <w:t>mother during the pregnancy and made referrals to support development of her parenting skills.</w:t>
      </w:r>
    </w:p>
    <w:p w:rsidR="001B0147" w:rsidRPr="003F6306" w:rsidRDefault="001B0147" w:rsidP="00B016EC">
      <w:pPr>
        <w:pBdr>
          <w:top w:val="single" w:sz="4" w:space="1" w:color="auto"/>
          <w:left w:val="single" w:sz="4" w:space="4" w:color="auto"/>
          <w:bottom w:val="single" w:sz="4" w:space="1" w:color="auto"/>
          <w:right w:val="single" w:sz="4" w:space="4" w:color="auto"/>
        </w:pBdr>
      </w:pPr>
      <w:r w:rsidRPr="003F6306">
        <w:t xml:space="preserve">Hospital files showed that after Aisha was born, Child Protection was not invited </w:t>
      </w:r>
      <w:r w:rsidRPr="003F6306">
        <w:rPr>
          <w:spacing w:val="-3"/>
        </w:rPr>
        <w:t xml:space="preserve">to </w:t>
      </w:r>
      <w:r w:rsidRPr="003F6306">
        <w:t xml:space="preserve">hospital and family meetings. This meant Child Protection workers were not fully aware of </w:t>
      </w:r>
      <w:r w:rsidRPr="003F6306">
        <w:rPr>
          <w:spacing w:val="-3"/>
        </w:rPr>
        <w:t xml:space="preserve">Aisha’s </w:t>
      </w:r>
      <w:r w:rsidRPr="003F6306">
        <w:t>complex needs, and weren’t able</w:t>
      </w:r>
      <w:r w:rsidRPr="003F6306">
        <w:rPr>
          <w:spacing w:val="-6"/>
        </w:rPr>
        <w:t xml:space="preserve"> </w:t>
      </w:r>
      <w:r w:rsidRPr="003F6306">
        <w:rPr>
          <w:spacing w:val="-3"/>
        </w:rPr>
        <w:t>to</w:t>
      </w:r>
      <w:r w:rsidR="00B016EC">
        <w:rPr>
          <w:spacing w:val="-3"/>
        </w:rPr>
        <w:t xml:space="preserve"> </w:t>
      </w:r>
      <w:r w:rsidRPr="003F6306">
        <w:t>comprehensively asse</w:t>
      </w:r>
      <w:r w:rsidR="00E02A7B">
        <w:t>s</w:t>
      </w:r>
      <w:r w:rsidRPr="003F6306">
        <w:t>s the risks to Aisha or her mother’s capacity to care for her.</w:t>
      </w:r>
    </w:p>
    <w:p w:rsidR="0052519A" w:rsidRDefault="001B0147" w:rsidP="00B016EC">
      <w:pPr>
        <w:pBdr>
          <w:top w:val="single" w:sz="4" w:space="1" w:color="auto"/>
          <w:left w:val="single" w:sz="4" w:space="4" w:color="auto"/>
          <w:bottom w:val="single" w:sz="4" w:space="1" w:color="auto"/>
          <w:right w:val="single" w:sz="4" w:space="4" w:color="auto"/>
        </w:pBdr>
      </w:pPr>
      <w:r w:rsidRPr="003F6306">
        <w:t>This case highlights that, even where legislation specifically permits information to be shared with Child Protection, practice and culture can stop information being shared.</w:t>
      </w:r>
    </w:p>
    <w:p w:rsidR="00B016EC" w:rsidRDefault="00B016EC" w:rsidP="001B0147"/>
    <w:p w:rsidR="0052519A" w:rsidRDefault="00B016EC" w:rsidP="00B016EC">
      <w:pPr>
        <w:pStyle w:val="Heading4"/>
        <w:pBdr>
          <w:top w:val="single" w:sz="4" w:space="1" w:color="auto"/>
          <w:left w:val="single" w:sz="4" w:space="4" w:color="auto"/>
          <w:bottom w:val="single" w:sz="4" w:space="1" w:color="auto"/>
          <w:right w:val="single" w:sz="4" w:space="4" w:color="auto"/>
        </w:pBdr>
      </w:pPr>
      <w:r>
        <w:t>CASE STUDY</w:t>
      </w:r>
      <w:r w:rsidR="0052519A">
        <w:t xml:space="preserve">: Kurt </w:t>
      </w:r>
    </w:p>
    <w:p w:rsidR="007A01BD" w:rsidRPr="003F6306" w:rsidRDefault="00F82531" w:rsidP="00B016EC">
      <w:pPr>
        <w:pBdr>
          <w:top w:val="single" w:sz="4" w:space="1" w:color="auto"/>
          <w:left w:val="single" w:sz="4" w:space="4" w:color="auto"/>
          <w:bottom w:val="single" w:sz="4" w:space="1" w:color="auto"/>
          <w:right w:val="single" w:sz="4" w:space="4" w:color="auto"/>
        </w:pBdr>
      </w:pPr>
      <w:r w:rsidRPr="003F6306">
        <w:t>Kurt was a vulnerable infant who was born into a complex family with a significant history of involvement with Child Protection. An unborn child report was made about Kurt, which raised concerns about whether his parents could safely care for him and referred to past allegations of parental substance abuse and family violence. Child Protection assessed Kurt to be at high risk and referred his family to support services in the community.</w:t>
      </w:r>
    </w:p>
    <w:p w:rsidR="007A01BD" w:rsidRPr="003F6306" w:rsidRDefault="00F82531" w:rsidP="00B016EC">
      <w:pPr>
        <w:pBdr>
          <w:top w:val="single" w:sz="4" w:space="1" w:color="auto"/>
          <w:left w:val="single" w:sz="4" w:space="4" w:color="auto"/>
          <w:bottom w:val="single" w:sz="4" w:space="1" w:color="auto"/>
          <w:right w:val="single" w:sz="4" w:space="4" w:color="auto"/>
        </w:pBdr>
      </w:pPr>
      <w:r w:rsidRPr="003F6306">
        <w:t>We found no evidence that services engaged with Kurt or his family either before or after he was born. The absence of a case conference and/</w:t>
      </w:r>
    </w:p>
    <w:p w:rsidR="007A01BD" w:rsidRPr="003F6306" w:rsidRDefault="00F82531" w:rsidP="00B016EC">
      <w:pPr>
        <w:pBdr>
          <w:top w:val="single" w:sz="4" w:space="1" w:color="auto"/>
          <w:left w:val="single" w:sz="4" w:space="4" w:color="auto"/>
          <w:bottom w:val="single" w:sz="4" w:space="1" w:color="auto"/>
          <w:right w:val="single" w:sz="4" w:space="4" w:color="auto"/>
        </w:pBdr>
      </w:pPr>
      <w:r w:rsidRPr="003F6306">
        <w:t>or hospital discharge planning meeting after Kurt was born meant services that could have helped his family did not have a full understanding of the family’s issues or the risks he faced. Services that received referrals were unable to engage with Kurt’s parents, who would not allow them to come into their home. Despite the concerns raised about Kurt’s parents, his sleep and home environment were not monitored after discharge from hospital.</w:t>
      </w:r>
    </w:p>
    <w:p w:rsidR="007A01BD" w:rsidRPr="003F6306" w:rsidRDefault="00F82531" w:rsidP="00B016EC">
      <w:pPr>
        <w:pBdr>
          <w:top w:val="single" w:sz="4" w:space="1" w:color="auto"/>
          <w:left w:val="single" w:sz="4" w:space="4" w:color="auto"/>
          <w:bottom w:val="single" w:sz="4" w:space="1" w:color="auto"/>
          <w:right w:val="single" w:sz="4" w:space="4" w:color="auto"/>
        </w:pBdr>
      </w:pPr>
      <w:r w:rsidRPr="003F6306">
        <w:t>We found that more robust information sharing would have enabled a range of services to plan and act to increase the parents’ capacity to care for their baby, their awareness of these issues and their preparedness to engage with services.</w:t>
      </w:r>
    </w:p>
    <w:p w:rsidR="007A01BD" w:rsidRPr="003F6306" w:rsidRDefault="00F82531" w:rsidP="00B016EC">
      <w:pPr>
        <w:pStyle w:val="Heading2"/>
      </w:pPr>
      <w:bookmarkStart w:id="44" w:name="_TOC_250016"/>
      <w:bookmarkStart w:id="45" w:name="_Toc496019826"/>
      <w:bookmarkEnd w:id="44"/>
      <w:r w:rsidRPr="003F6306">
        <w:t>Monitoring through on-site visits</w:t>
      </w:r>
      <w:bookmarkEnd w:id="45"/>
    </w:p>
    <w:p w:rsidR="007A01BD" w:rsidRPr="003F6306" w:rsidRDefault="00F82531" w:rsidP="0052519A">
      <w:r w:rsidRPr="003F6306">
        <w:t>We also performed our monitoring and oversight function through on-site visits to youth justice, and secure and community residential care.</w:t>
      </w:r>
    </w:p>
    <w:p w:rsidR="007A01BD" w:rsidRPr="003F6306" w:rsidRDefault="00F82531" w:rsidP="0052519A">
      <w:r w:rsidRPr="003F6306">
        <w:t>Children and young people in these settings are often among the most vulnerable in our society.</w:t>
      </w:r>
    </w:p>
    <w:p w:rsidR="007A01BD" w:rsidRPr="003F6306" w:rsidRDefault="00F82531" w:rsidP="0052519A">
      <w:pPr>
        <w:pStyle w:val="Heading3"/>
      </w:pPr>
      <w:r w:rsidRPr="003F6306">
        <w:t>Our visits to Grevillea Youth Justice Centre (Barwon Prison)</w:t>
      </w:r>
    </w:p>
    <w:p w:rsidR="007A01BD" w:rsidRPr="003F6306" w:rsidRDefault="00F82531" w:rsidP="0052519A">
      <w:r w:rsidRPr="003F6306">
        <w:t>On 17 November 2016, following a riot at Parkville Youth Justice Precinct, the state government established the Grevillea Youth Justice Precinct within Barwon Prison.</w:t>
      </w:r>
    </w:p>
    <w:p w:rsidR="007A01BD" w:rsidRPr="003F6306" w:rsidRDefault="00F82531" w:rsidP="0052519A">
      <w:pPr>
        <w:rPr>
          <w:sz w:val="12"/>
        </w:rPr>
      </w:pPr>
      <w:r w:rsidRPr="003F6306">
        <w:t xml:space="preserve">Commission staff, independent volunteer visitors, and the Commissioners visited children and young people at Grevillea once or twice  per week until it was de-commissioned in May </w:t>
      </w:r>
      <w:r w:rsidRPr="003F6306">
        <w:rPr>
          <w:spacing w:val="-9"/>
        </w:rPr>
        <w:t xml:space="preserve">2017. </w:t>
      </w:r>
      <w:r w:rsidRPr="003F6306">
        <w:t xml:space="preserve">During these inspections, we spoke to young people about conditions in the unit and services provided to them. Their concerns were then raised with local managers and significant matters were brought to the attention of the Minister for Families and Children. </w:t>
      </w:r>
      <w:r w:rsidRPr="003F6306">
        <w:lastRenderedPageBreak/>
        <w:t>Much of our correspondence with the Minister about these issues and the government’s response were documented in a Victorian Ombudsman report published in February</w:t>
      </w:r>
      <w:r w:rsidRPr="003F6306">
        <w:rPr>
          <w:spacing w:val="17"/>
        </w:rPr>
        <w:t xml:space="preserve"> </w:t>
      </w:r>
      <w:r w:rsidRPr="003F6306">
        <w:rPr>
          <w:spacing w:val="-9"/>
        </w:rPr>
        <w:t>2017.</w:t>
      </w:r>
      <w:r w:rsidR="00B016EC">
        <w:rPr>
          <w:rStyle w:val="FootnoteReference"/>
          <w:spacing w:val="-9"/>
        </w:rPr>
        <w:footnoteReference w:id="13"/>
      </w:r>
    </w:p>
    <w:p w:rsidR="007A01BD" w:rsidRPr="003F6306" w:rsidRDefault="00F82531" w:rsidP="0052519A">
      <w:r w:rsidRPr="003F6306">
        <w:t>Some problems that were resolved as a result of our advocacy for the children and young people in Grevillea included:</w:t>
      </w:r>
    </w:p>
    <w:p w:rsidR="007A01BD" w:rsidRPr="003F6306" w:rsidRDefault="00F82531" w:rsidP="0052519A">
      <w:pPr>
        <w:pStyle w:val="Bullets"/>
      </w:pPr>
      <w:r w:rsidRPr="003F6306">
        <w:t>regular access to fresh air and the unit’s exercise yard</w:t>
      </w:r>
    </w:p>
    <w:p w:rsidR="007A01BD" w:rsidRPr="003F6306" w:rsidRDefault="00F82531" w:rsidP="0052519A">
      <w:pPr>
        <w:pStyle w:val="Bullets"/>
      </w:pPr>
      <w:r w:rsidRPr="003F6306">
        <w:t>adequate bedding and</w:t>
      </w:r>
      <w:r w:rsidRPr="003F6306">
        <w:rPr>
          <w:spacing w:val="10"/>
        </w:rPr>
        <w:t xml:space="preserve"> </w:t>
      </w:r>
      <w:r w:rsidRPr="003F6306">
        <w:t>clothing</w:t>
      </w:r>
    </w:p>
    <w:p w:rsidR="007A01BD" w:rsidRPr="003F6306" w:rsidRDefault="00F82531" w:rsidP="0052519A">
      <w:pPr>
        <w:pStyle w:val="Bullets"/>
      </w:pPr>
      <w:r w:rsidRPr="003F6306">
        <w:t>improving children and young people’s access to fans in their cells in extremely hot</w:t>
      </w:r>
      <w:r w:rsidRPr="003F6306">
        <w:rPr>
          <w:spacing w:val="3"/>
        </w:rPr>
        <w:t xml:space="preserve"> </w:t>
      </w:r>
      <w:r w:rsidRPr="003F6306">
        <w:t>temperatures</w:t>
      </w:r>
    </w:p>
    <w:p w:rsidR="007A01BD" w:rsidRPr="003F6306" w:rsidRDefault="00F82531" w:rsidP="0052519A">
      <w:pPr>
        <w:pStyle w:val="Bullets"/>
      </w:pPr>
      <w:r w:rsidRPr="003F6306">
        <w:t>substantially reducing the amount of time children and young people spent locked in their cells, in effective seclusion (often for 23 hours per</w:t>
      </w:r>
      <w:r w:rsidRPr="003F6306">
        <w:rPr>
          <w:spacing w:val="3"/>
        </w:rPr>
        <w:t xml:space="preserve"> </w:t>
      </w:r>
      <w:r w:rsidRPr="003F6306">
        <w:t>day).</w:t>
      </w:r>
    </w:p>
    <w:p w:rsidR="007A01BD" w:rsidRPr="003F6306" w:rsidRDefault="00F82531" w:rsidP="0052519A">
      <w:r w:rsidRPr="003F6306">
        <w:t>Grevillea was decommissioned as a youth justice facility, and all children and young people were transferred to other facilities in May</w:t>
      </w:r>
      <w:r w:rsidRPr="003F6306">
        <w:rPr>
          <w:spacing w:val="12"/>
        </w:rPr>
        <w:t xml:space="preserve"> </w:t>
      </w:r>
      <w:r w:rsidRPr="003F6306">
        <w:rPr>
          <w:spacing w:val="-9"/>
        </w:rPr>
        <w:t>2017.</w:t>
      </w:r>
    </w:p>
    <w:p w:rsidR="007A01BD" w:rsidRPr="003F6306" w:rsidRDefault="00F82531" w:rsidP="0052519A">
      <w:pPr>
        <w:pStyle w:val="Heading3"/>
      </w:pPr>
      <w:r w:rsidRPr="003F6306">
        <w:t>Independent Visitor Program to youth justice</w:t>
      </w:r>
    </w:p>
    <w:p w:rsidR="007A01BD" w:rsidRPr="003F6306" w:rsidRDefault="00F82531" w:rsidP="0052519A">
      <w:r w:rsidRPr="003F6306">
        <w:t>Our Independent Visitor Program (IVP) conducts regular visits to Victoria’s youth justice centres. The IVP was introduced into Victoria’s youth justice centres five years ago. During this financial year, it continued to visit the Parkville and Malmsbury Youth Justice Precincts and was extended to the Grevillea Youth Justice Precinct while it operated.</w:t>
      </w:r>
    </w:p>
    <w:p w:rsidR="007A01BD" w:rsidRPr="003F6306" w:rsidRDefault="00F82531" w:rsidP="0052519A">
      <w:r w:rsidRPr="003F6306">
        <w:t xml:space="preserve">The IVP involves regular visits by independent volunteer visitors who go to centres, observe conditions and talk to children and staff  about services and issues. They report on their observations to the Commissioners after each visit. </w:t>
      </w:r>
      <w:r w:rsidRPr="003F6306">
        <w:rPr>
          <w:spacing w:val="-3"/>
        </w:rPr>
        <w:t xml:space="preserve">We </w:t>
      </w:r>
      <w:r w:rsidRPr="003F6306">
        <w:t xml:space="preserve">seek to resolve issues reported to independent visitors by raising them with senior </w:t>
      </w:r>
      <w:r w:rsidRPr="003F6306">
        <w:rPr>
          <w:spacing w:val="-4"/>
        </w:rPr>
        <w:t xml:space="preserve">Youth </w:t>
      </w:r>
      <w:r w:rsidRPr="003F6306">
        <w:t>Justice staff and</w:t>
      </w:r>
      <w:r w:rsidRPr="003F6306">
        <w:rPr>
          <w:spacing w:val="32"/>
        </w:rPr>
        <w:t xml:space="preserve"> </w:t>
      </w:r>
      <w:r w:rsidRPr="003F6306">
        <w:t>managers.</w:t>
      </w:r>
    </w:p>
    <w:p w:rsidR="007A01BD" w:rsidRPr="003F6306" w:rsidRDefault="00F82531" w:rsidP="0052519A">
      <w:r w:rsidRPr="003F6306">
        <w:t>Examples of the issues raised and our follow-up work are set out below.</w:t>
      </w:r>
    </w:p>
    <w:p w:rsidR="007A01BD" w:rsidRPr="003F6306" w:rsidRDefault="00F82531" w:rsidP="0052519A">
      <w:r w:rsidRPr="003F6306">
        <w:t xml:space="preserve">Reports by independent visitors also inform our systemic work. For example, we established our systemic inquiry, </w:t>
      </w:r>
      <w:r w:rsidRPr="003F6306">
        <w:rPr>
          <w:i/>
        </w:rPr>
        <w:t>The same four walls</w:t>
      </w:r>
      <w:r w:rsidRPr="003F6306">
        <w:t>, which examined the use of isolation, seclusion and lockdowns in Victoria’s youth justice centres, partly due to reports provided by independent visitors. (See page 12 for information on</w:t>
      </w:r>
      <w:r w:rsidR="0052519A">
        <w:t xml:space="preserve"> </w:t>
      </w:r>
      <w:r w:rsidRPr="003F6306">
        <w:t>our inquiries and recommendations.) The Commission is very grateful for the important</w:t>
      </w:r>
      <w:r w:rsidR="00B016EC">
        <w:t xml:space="preserve"> </w:t>
      </w:r>
      <w:r w:rsidRPr="003F6306">
        <w:t>work done by independent visitors. Their commitment to children and young people in youth justice centres is outstanding, as are the invaluable insights they provide us.</w:t>
      </w:r>
    </w:p>
    <w:p w:rsidR="007A01BD" w:rsidRPr="003F6306" w:rsidRDefault="00F82531" w:rsidP="0052519A">
      <w:pPr>
        <w:pStyle w:val="Heading4"/>
      </w:pPr>
      <w:r w:rsidRPr="003F6306">
        <w:t>Issues raised</w:t>
      </w:r>
    </w:p>
    <w:p w:rsidR="007A01BD" w:rsidRPr="003F6306" w:rsidRDefault="00F82531" w:rsidP="0052519A">
      <w:r w:rsidRPr="003F6306">
        <w:t>This year, children and young people raised 952 issues across the three locations. This included 439 issues at Malmsbury, 389 issues at Parkville and 124 issues at Grevillea. The nature of the issues raised varied, with children and young people reporting concerns about their physical environment, and the health and education services they receive.</w:t>
      </w:r>
    </w:p>
    <w:p w:rsidR="007A01BD" w:rsidRPr="003F6306" w:rsidRDefault="00F82531" w:rsidP="0052519A">
      <w:r w:rsidRPr="003F6306">
        <w:t xml:space="preserve">Children and young people at Parkville raised </w:t>
      </w:r>
      <w:r w:rsidRPr="003F6306">
        <w:rPr>
          <w:spacing w:val="-3"/>
        </w:rPr>
        <w:t xml:space="preserve">61 </w:t>
      </w:r>
      <w:r w:rsidRPr="003F6306">
        <w:t xml:space="preserve">issues about health services to independent visitors this </w:t>
      </w:r>
      <w:r w:rsidRPr="003F6306">
        <w:rPr>
          <w:spacing w:val="-3"/>
        </w:rPr>
        <w:t xml:space="preserve">year.  We  </w:t>
      </w:r>
      <w:r w:rsidRPr="003F6306">
        <w:t>received complaints about long waiting times to see a health professional (many related to dental treatment) and requests to have medication</w:t>
      </w:r>
      <w:r w:rsidRPr="003F6306">
        <w:rPr>
          <w:spacing w:val="5"/>
        </w:rPr>
        <w:t xml:space="preserve"> </w:t>
      </w:r>
      <w:r w:rsidRPr="003F6306">
        <w:t>reviewed.</w:t>
      </w:r>
    </w:p>
    <w:p w:rsidR="007A01BD" w:rsidRPr="003F6306" w:rsidRDefault="00F82531" w:rsidP="0052519A">
      <w:pPr>
        <w:rPr>
          <w:sz w:val="12"/>
        </w:rPr>
      </w:pPr>
      <w:r w:rsidRPr="003F6306">
        <w:t>We provide reports of the matters raised by young people to Youth Health and Rehabilitation Service (YHaRS), to ensure that it provides the best possible health service to children and young people.</w:t>
      </w:r>
      <w:r w:rsidR="00B016EC">
        <w:rPr>
          <w:rStyle w:val="FootnoteReference"/>
        </w:rPr>
        <w:footnoteReference w:id="14"/>
      </w:r>
    </w:p>
    <w:p w:rsidR="007A01BD" w:rsidRPr="003F6306" w:rsidRDefault="00F82531" w:rsidP="0052519A">
      <w:r w:rsidRPr="003F6306">
        <w:t xml:space="preserve">There were 69 concerns raised about programs and education at Malmsbury, and we are particularly concerned about the limited access to programs and education at the centre. </w:t>
      </w:r>
      <w:r w:rsidR="004656BE">
        <w:br/>
      </w:r>
      <w:r w:rsidRPr="003F6306">
        <w:lastRenderedPageBreak/>
        <w:t>We have raised our concerns with Youth Justice, who have committed to increasing access to educational programs.</w:t>
      </w:r>
    </w:p>
    <w:p w:rsidR="0052519A" w:rsidRDefault="00F82531" w:rsidP="0052519A">
      <w:r w:rsidRPr="003F6306">
        <w:t>Issues related to environment were</w:t>
      </w:r>
      <w:r w:rsidR="0052519A">
        <w:t xml:space="preserve"> </w:t>
      </w:r>
      <w:r w:rsidRPr="003F6306">
        <w:t>broad ranging, and concerned infrastructure, furniture, maintenance, cleanliness, and placement in units. There were 61 issues raised about environment at Parkville and</w:t>
      </w:r>
      <w:r w:rsidR="0052519A">
        <w:t xml:space="preserve"> </w:t>
      </w:r>
      <w:r w:rsidRPr="003F6306">
        <w:t>52 at Malmsbury.</w:t>
      </w:r>
    </w:p>
    <w:p w:rsidR="007A01BD" w:rsidRPr="003F6306" w:rsidRDefault="00F82531" w:rsidP="0052519A">
      <w:r w:rsidRPr="003F6306">
        <w:t>Some of the observations and reports that caused concern included a lack of chairs and tables for children and young people to eat meals, poor cleanliness and damage to physical infrastructure. We have raised these concerns with Youth Justice.</w:t>
      </w:r>
    </w:p>
    <w:p w:rsidR="007A01BD" w:rsidRPr="003F6306" w:rsidRDefault="00F82531" w:rsidP="004656BE">
      <w:pPr>
        <w:pStyle w:val="Heading4"/>
        <w:pBdr>
          <w:top w:val="single" w:sz="4" w:space="1" w:color="auto"/>
          <w:left w:val="single" w:sz="4" w:space="4" w:color="auto"/>
          <w:bottom w:val="single" w:sz="4" w:space="1" w:color="auto"/>
          <w:right w:val="single" w:sz="4" w:space="4" w:color="auto"/>
        </w:pBdr>
      </w:pPr>
      <w:r w:rsidRPr="003F6306">
        <w:t>CASE STUDIES</w:t>
      </w:r>
    </w:p>
    <w:p w:rsidR="007A01BD" w:rsidRPr="003F6306" w:rsidRDefault="00F82531" w:rsidP="004656BE">
      <w:pPr>
        <w:pStyle w:val="Heading4"/>
        <w:pBdr>
          <w:top w:val="single" w:sz="4" w:space="1" w:color="auto"/>
          <w:left w:val="single" w:sz="4" w:space="4" w:color="auto"/>
          <w:bottom w:val="single" w:sz="4" w:space="1" w:color="auto"/>
          <w:right w:val="single" w:sz="4" w:space="4" w:color="auto"/>
        </w:pBdr>
      </w:pPr>
      <w:r w:rsidRPr="003F6306">
        <w:t>Use of handcuffs at Parkville</w:t>
      </w:r>
    </w:p>
    <w:p w:rsidR="007A01BD" w:rsidRPr="003F6306" w:rsidRDefault="00F82531" w:rsidP="004656BE">
      <w:pPr>
        <w:pBdr>
          <w:top w:val="single" w:sz="4" w:space="1" w:color="auto"/>
          <w:left w:val="single" w:sz="4" w:space="4" w:color="auto"/>
          <w:bottom w:val="single" w:sz="4" w:space="1" w:color="auto"/>
          <w:right w:val="single" w:sz="4" w:space="4" w:color="auto"/>
        </w:pBdr>
      </w:pPr>
      <w:r w:rsidRPr="003F6306">
        <w:t>During a visit to Parkville in early 2017, independent visitors saw children and young people being moved across the precinct in handcuffs, with one bleeding from the wrist as a result.</w:t>
      </w:r>
    </w:p>
    <w:p w:rsidR="007A01BD" w:rsidRPr="003F6306" w:rsidRDefault="00F82531" w:rsidP="004656BE">
      <w:pPr>
        <w:pBdr>
          <w:top w:val="single" w:sz="4" w:space="1" w:color="auto"/>
          <w:left w:val="single" w:sz="4" w:space="4" w:color="auto"/>
          <w:bottom w:val="single" w:sz="4" w:space="1" w:color="auto"/>
          <w:right w:val="single" w:sz="4" w:space="4" w:color="auto"/>
        </w:pBdr>
      </w:pPr>
      <w:r w:rsidRPr="003F6306">
        <w:t>We raised this issue with the General Manager, who reviewed how rules about the use of handcuffs were being applied. This reinforced the policy that staff must conduct an individual risk assessment before using handcuffs when moving young people within a precinct.</w:t>
      </w:r>
    </w:p>
    <w:p w:rsidR="007A01BD" w:rsidRPr="003F6306" w:rsidRDefault="00F82531" w:rsidP="004656BE">
      <w:pPr>
        <w:pStyle w:val="Heading4"/>
        <w:pBdr>
          <w:top w:val="single" w:sz="4" w:space="1" w:color="auto"/>
          <w:left w:val="single" w:sz="4" w:space="4" w:color="auto"/>
          <w:bottom w:val="single" w:sz="4" w:space="1" w:color="auto"/>
          <w:right w:val="single" w:sz="4" w:space="4" w:color="auto"/>
        </w:pBdr>
      </w:pPr>
      <w:r w:rsidRPr="003F6306">
        <w:t>Poor access to showers at Parkville</w:t>
      </w:r>
    </w:p>
    <w:p w:rsidR="007A01BD" w:rsidRPr="0052519A" w:rsidRDefault="00F82531" w:rsidP="004656BE">
      <w:pPr>
        <w:pBdr>
          <w:top w:val="single" w:sz="4" w:space="1" w:color="auto"/>
          <w:left w:val="single" w:sz="4" w:space="4" w:color="auto"/>
          <w:bottom w:val="single" w:sz="4" w:space="1" w:color="auto"/>
          <w:right w:val="single" w:sz="4" w:space="4" w:color="auto"/>
        </w:pBdr>
      </w:pPr>
      <w:r w:rsidRPr="0052519A">
        <w:t>Independent visitors talked to a boy who had not showered since he had arrived at Parkville five days earlier.</w:t>
      </w:r>
    </w:p>
    <w:p w:rsidR="007A01BD" w:rsidRPr="0052519A" w:rsidRDefault="00F82531" w:rsidP="004656BE">
      <w:pPr>
        <w:pBdr>
          <w:top w:val="single" w:sz="4" w:space="1" w:color="auto"/>
          <w:left w:val="single" w:sz="4" w:space="4" w:color="auto"/>
          <w:bottom w:val="single" w:sz="4" w:space="1" w:color="auto"/>
          <w:right w:val="single" w:sz="4" w:space="4" w:color="auto"/>
        </w:pBdr>
      </w:pPr>
      <w:r w:rsidRPr="0052519A">
        <w:t>We reported this to the General Manager and the boy was immediately given</w:t>
      </w:r>
      <w:r w:rsidR="00B016EC">
        <w:t xml:space="preserve"> </w:t>
      </w:r>
      <w:r w:rsidRPr="0052519A">
        <w:t>the chance to shower. The matter was addressed with staff to ensure proper access to showers for everyone.</w:t>
      </w:r>
    </w:p>
    <w:p w:rsidR="007A01BD" w:rsidRPr="003F6306" w:rsidRDefault="00F82531" w:rsidP="004656BE">
      <w:pPr>
        <w:pStyle w:val="Heading2"/>
      </w:pPr>
      <w:bookmarkStart w:id="46" w:name="_Toc496019827"/>
      <w:r w:rsidRPr="004656BE">
        <w:t>Secure</w:t>
      </w:r>
      <w:r w:rsidRPr="003F6306">
        <w:t xml:space="preserve"> welfare and residential care services</w:t>
      </w:r>
      <w:bookmarkEnd w:id="46"/>
    </w:p>
    <w:p w:rsidR="007A01BD" w:rsidRPr="003F6306" w:rsidRDefault="00F82531" w:rsidP="0052519A">
      <w:r w:rsidRPr="003F6306">
        <w:t>During 2016–17 we concluded pilot visitor programs to secure welfare services and residential care services. Both pilots aimed to monitor these services and give children and young people an avenue to raise issues.</w:t>
      </w:r>
    </w:p>
    <w:p w:rsidR="0052519A" w:rsidRDefault="00F82531" w:rsidP="0052519A">
      <w:r w:rsidRPr="003F6306">
        <w:t>During the pilots, we commissioned  an independent review to find out</w:t>
      </w:r>
      <w:r w:rsidRPr="003F6306">
        <w:rPr>
          <w:spacing w:val="15"/>
        </w:rPr>
        <w:t xml:space="preserve"> </w:t>
      </w:r>
      <w:r w:rsidRPr="003F6306">
        <w:t>their</w:t>
      </w:r>
      <w:r w:rsidR="0052519A">
        <w:t xml:space="preserve"> </w:t>
      </w:r>
      <w:r w:rsidRPr="003F6306">
        <w:t>effectiveness. The review found that the programs were valuable and had led to</w:t>
      </w:r>
      <w:r w:rsidR="0052519A">
        <w:t xml:space="preserve"> </w:t>
      </w:r>
      <w:r w:rsidRPr="003F6306">
        <w:t>changes to specific issues children and young people raised. At the same time, the review made recommendations to improve the focus of our objectives, particularly when it came to hearing from child</w:t>
      </w:r>
      <w:r w:rsidR="0052519A">
        <w:t>r</w:t>
      </w:r>
      <w:r w:rsidRPr="003F6306">
        <w:t>en and young</w:t>
      </w:r>
      <w:r w:rsidR="0052519A">
        <w:t xml:space="preserve"> </w:t>
      </w:r>
      <w:r w:rsidRPr="003F6306">
        <w:t>people, and monitoring the services effectively.</w:t>
      </w:r>
    </w:p>
    <w:p w:rsidR="007A01BD" w:rsidRPr="003F6306" w:rsidRDefault="00F82531" w:rsidP="0052519A">
      <w:r w:rsidRPr="003F6306">
        <w:t>As a result, we will be developing a new statewide monitoring strategy that builds on our youth justice IVP, and extends the strategy to residential care, secure welfare services, kinship care and foster care.</w:t>
      </w:r>
    </w:p>
    <w:p w:rsidR="007A01BD" w:rsidRPr="003F6306" w:rsidRDefault="00F82531" w:rsidP="004656BE">
      <w:pPr>
        <w:pStyle w:val="Heading2"/>
      </w:pPr>
      <w:bookmarkStart w:id="47" w:name="_TOC_250015"/>
      <w:bookmarkStart w:id="48" w:name="_Toc496019828"/>
      <w:bookmarkEnd w:id="47"/>
      <w:r w:rsidRPr="004656BE">
        <w:t>Oversight</w:t>
      </w:r>
      <w:r w:rsidRPr="003F6306">
        <w:t xml:space="preserve"> of serious incidents</w:t>
      </w:r>
      <w:bookmarkEnd w:id="48"/>
    </w:p>
    <w:p w:rsidR="0052519A" w:rsidRDefault="00F82531" w:rsidP="0052519A">
      <w:pPr>
        <w:rPr>
          <w:spacing w:val="-3"/>
        </w:rPr>
      </w:pPr>
      <w:r w:rsidRPr="003F6306">
        <w:rPr>
          <w:spacing w:val="-4"/>
        </w:rPr>
        <w:t xml:space="preserve">We </w:t>
      </w:r>
      <w:r w:rsidRPr="003F6306">
        <w:t xml:space="preserve">also </w:t>
      </w:r>
      <w:r w:rsidRPr="003F6306">
        <w:rPr>
          <w:spacing w:val="-3"/>
        </w:rPr>
        <w:t xml:space="preserve">monitor </w:t>
      </w:r>
      <w:r w:rsidRPr="003F6306">
        <w:t xml:space="preserve">the safety and </w:t>
      </w:r>
      <w:r w:rsidRPr="003F6306">
        <w:rPr>
          <w:spacing w:val="-3"/>
        </w:rPr>
        <w:t xml:space="preserve">wellbeing </w:t>
      </w:r>
      <w:r w:rsidRPr="003F6306">
        <w:t>of vulnerable</w:t>
      </w:r>
      <w:r w:rsidRPr="003F6306">
        <w:rPr>
          <w:spacing w:val="-16"/>
        </w:rPr>
        <w:t xml:space="preserve"> </w:t>
      </w:r>
      <w:r w:rsidRPr="003F6306">
        <w:t>children</w:t>
      </w:r>
      <w:r w:rsidRPr="003F6306">
        <w:rPr>
          <w:spacing w:val="-15"/>
        </w:rPr>
        <w:t xml:space="preserve"> </w:t>
      </w:r>
      <w:r w:rsidRPr="003F6306">
        <w:t>and</w:t>
      </w:r>
      <w:r w:rsidRPr="003F6306">
        <w:rPr>
          <w:spacing w:val="-15"/>
        </w:rPr>
        <w:t xml:space="preserve"> </w:t>
      </w:r>
      <w:r w:rsidRPr="003F6306">
        <w:rPr>
          <w:spacing w:val="-3"/>
        </w:rPr>
        <w:t>young</w:t>
      </w:r>
      <w:r w:rsidRPr="003F6306">
        <w:rPr>
          <w:spacing w:val="-15"/>
        </w:rPr>
        <w:t xml:space="preserve"> </w:t>
      </w:r>
      <w:r w:rsidRPr="003F6306">
        <w:t>people</w:t>
      </w:r>
      <w:r w:rsidRPr="003F6306">
        <w:rPr>
          <w:spacing w:val="-15"/>
        </w:rPr>
        <w:t xml:space="preserve"> </w:t>
      </w:r>
      <w:r w:rsidRPr="003F6306">
        <w:rPr>
          <w:spacing w:val="-3"/>
        </w:rPr>
        <w:t>by</w:t>
      </w:r>
      <w:r w:rsidRPr="003F6306">
        <w:rPr>
          <w:spacing w:val="-15"/>
        </w:rPr>
        <w:t xml:space="preserve"> </w:t>
      </w:r>
      <w:r w:rsidRPr="003F6306">
        <w:t xml:space="preserve">receiving </w:t>
      </w:r>
      <w:r w:rsidRPr="003F6306">
        <w:rPr>
          <w:spacing w:val="-3"/>
        </w:rPr>
        <w:t xml:space="preserve">information </w:t>
      </w:r>
      <w:r w:rsidRPr="003F6306">
        <w:t xml:space="preserve">about serious incidents in </w:t>
      </w:r>
      <w:r w:rsidRPr="003F6306">
        <w:rPr>
          <w:spacing w:val="-4"/>
        </w:rPr>
        <w:t xml:space="preserve">Victoria’s </w:t>
      </w:r>
      <w:r w:rsidRPr="003F6306">
        <w:rPr>
          <w:spacing w:val="-3"/>
        </w:rPr>
        <w:t>youth</w:t>
      </w:r>
      <w:r w:rsidRPr="003F6306">
        <w:rPr>
          <w:spacing w:val="-10"/>
        </w:rPr>
        <w:t xml:space="preserve"> </w:t>
      </w:r>
      <w:r w:rsidRPr="003F6306">
        <w:t>justice</w:t>
      </w:r>
      <w:r w:rsidRPr="003F6306">
        <w:rPr>
          <w:spacing w:val="-10"/>
        </w:rPr>
        <w:t xml:space="preserve"> </w:t>
      </w:r>
      <w:r w:rsidRPr="003F6306">
        <w:t>and</w:t>
      </w:r>
      <w:r w:rsidRPr="003F6306">
        <w:rPr>
          <w:spacing w:val="-10"/>
        </w:rPr>
        <w:t xml:space="preserve"> </w:t>
      </w:r>
      <w:r w:rsidRPr="003F6306">
        <w:t>child</w:t>
      </w:r>
      <w:r w:rsidRPr="003F6306">
        <w:rPr>
          <w:spacing w:val="-10"/>
        </w:rPr>
        <w:t xml:space="preserve"> </w:t>
      </w:r>
      <w:r w:rsidRPr="003F6306">
        <w:rPr>
          <w:spacing w:val="-2"/>
        </w:rPr>
        <w:t>protection</w:t>
      </w:r>
      <w:r w:rsidRPr="003F6306">
        <w:rPr>
          <w:spacing w:val="-10"/>
        </w:rPr>
        <w:t xml:space="preserve"> </w:t>
      </w:r>
      <w:r w:rsidRPr="003F6306">
        <w:rPr>
          <w:spacing w:val="-3"/>
        </w:rPr>
        <w:t>systems.</w:t>
      </w:r>
    </w:p>
    <w:p w:rsidR="007A01BD" w:rsidRPr="003F6306" w:rsidRDefault="00F82531" w:rsidP="0052519A">
      <w:r w:rsidRPr="003F6306">
        <w:t xml:space="preserve">The information we receive comes in the form of ‘client incident reports’. In March </w:t>
      </w:r>
      <w:r w:rsidRPr="003F6306">
        <w:rPr>
          <w:spacing w:val="-4"/>
        </w:rPr>
        <w:t xml:space="preserve">2016, </w:t>
      </w:r>
      <w:r w:rsidRPr="003F6306">
        <w:t>we began monitoring incident reports related to children and young people in youth justice. This became possible following amendments to</w:t>
      </w:r>
      <w:r w:rsidRPr="003F6306">
        <w:rPr>
          <w:spacing w:val="21"/>
        </w:rPr>
        <w:t xml:space="preserve"> </w:t>
      </w:r>
      <w:r w:rsidRPr="003F6306">
        <w:t>the</w:t>
      </w:r>
      <w:r w:rsidR="0052519A">
        <w:t xml:space="preserve"> </w:t>
      </w:r>
      <w:r w:rsidRPr="003F6306">
        <w:t>CCYP Act in March 2016.</w:t>
      </w:r>
      <w:r w:rsidR="004656BE">
        <w:rPr>
          <w:rStyle w:val="FootnoteReference"/>
        </w:rPr>
        <w:footnoteReference w:id="15"/>
      </w:r>
      <w:r w:rsidRPr="003F6306">
        <w:rPr>
          <w:position w:val="8"/>
          <w:sz w:val="12"/>
        </w:rPr>
        <w:t xml:space="preserve"> </w:t>
      </w:r>
      <w:r w:rsidRPr="003F6306">
        <w:t>This amendment has greatly increased our capacity to independently monitor these services.</w:t>
      </w:r>
    </w:p>
    <w:p w:rsidR="007A01BD" w:rsidRPr="003F6306" w:rsidRDefault="00F82531" w:rsidP="00F324F0">
      <w:pPr>
        <w:pStyle w:val="Heading3"/>
      </w:pPr>
      <w:r w:rsidRPr="003F6306">
        <w:lastRenderedPageBreak/>
        <w:t xml:space="preserve">How we </w:t>
      </w:r>
      <w:r w:rsidRPr="00F324F0">
        <w:t>monitor</w:t>
      </w:r>
      <w:r w:rsidRPr="003F6306">
        <w:t xml:space="preserve"> serious incidents</w:t>
      </w:r>
    </w:p>
    <w:p w:rsidR="007A01BD" w:rsidRPr="003F6306" w:rsidRDefault="00F82531" w:rsidP="0052519A">
      <w:r w:rsidRPr="003F6306">
        <w:rPr>
          <w:spacing w:val="-3"/>
        </w:rPr>
        <w:t xml:space="preserve">We </w:t>
      </w:r>
      <w:r w:rsidRPr="003F6306">
        <w:t>receive and read all ‘Category One’ client incident reports that are generated by staff in  the out-of-home care and youth justice</w:t>
      </w:r>
      <w:r w:rsidRPr="003F6306">
        <w:rPr>
          <w:spacing w:val="10"/>
        </w:rPr>
        <w:t xml:space="preserve"> </w:t>
      </w:r>
      <w:r w:rsidRPr="003F6306">
        <w:t>systems.</w:t>
      </w:r>
    </w:p>
    <w:p w:rsidR="007A01BD" w:rsidRPr="003F6306" w:rsidRDefault="00F82531" w:rsidP="0052519A">
      <w:r w:rsidRPr="003F6306">
        <w:rPr>
          <w:spacing w:val="-3"/>
        </w:rPr>
        <w:t xml:space="preserve">We </w:t>
      </w:r>
      <w:r w:rsidRPr="003F6306">
        <w:t xml:space="preserve">compile and analyse data about the incident reports we receive, which helps inform the  focus of our policy and advocacy work, and our systemic inquiries. </w:t>
      </w:r>
      <w:r w:rsidRPr="003F6306">
        <w:rPr>
          <w:spacing w:val="-3"/>
        </w:rPr>
        <w:t xml:space="preserve">We </w:t>
      </w:r>
      <w:r w:rsidRPr="003F6306">
        <w:t>may also follow-up on behalf of an individual child or young person in certain circumstances. When deciding whether we will follow-up we consider a wide variety of factors, such</w:t>
      </w:r>
      <w:r w:rsidRPr="003F6306">
        <w:rPr>
          <w:spacing w:val="5"/>
        </w:rPr>
        <w:t xml:space="preserve"> </w:t>
      </w:r>
      <w:r w:rsidRPr="003F6306">
        <w:t>as:</w:t>
      </w:r>
    </w:p>
    <w:p w:rsidR="007A01BD" w:rsidRPr="003F6306" w:rsidRDefault="00F82531" w:rsidP="0052519A">
      <w:pPr>
        <w:pStyle w:val="Bullets"/>
      </w:pPr>
      <w:r w:rsidRPr="003F6306">
        <w:t>whether the incident report discloses information about a systemic</w:t>
      </w:r>
      <w:r w:rsidRPr="003F6306">
        <w:rPr>
          <w:spacing w:val="10"/>
        </w:rPr>
        <w:t xml:space="preserve"> </w:t>
      </w:r>
      <w:r w:rsidRPr="003F6306">
        <w:t>failing</w:t>
      </w:r>
    </w:p>
    <w:p w:rsidR="007A01BD" w:rsidRPr="003F6306" w:rsidRDefault="00F82531" w:rsidP="0052519A">
      <w:pPr>
        <w:pStyle w:val="Bullets"/>
      </w:pPr>
      <w:r w:rsidRPr="003F6306">
        <w:t>whether the incident report relates to a particularly vulnerable child or young</w:t>
      </w:r>
      <w:r w:rsidRPr="003F6306">
        <w:rPr>
          <w:spacing w:val="8"/>
        </w:rPr>
        <w:t xml:space="preserve"> </w:t>
      </w:r>
      <w:r w:rsidRPr="003F6306">
        <w:t>person</w:t>
      </w:r>
    </w:p>
    <w:p w:rsidR="007A01BD" w:rsidRPr="003F6306" w:rsidRDefault="00F82531" w:rsidP="00F324F0">
      <w:pPr>
        <w:pStyle w:val="Bullets"/>
      </w:pPr>
      <w:r w:rsidRPr="003F6306">
        <w:t>the adequacy of the service provider’s response and the seriousness or significance of any remaining risks to the child or young</w:t>
      </w:r>
      <w:r w:rsidRPr="0052519A">
        <w:rPr>
          <w:spacing w:val="10"/>
        </w:rPr>
        <w:t xml:space="preserve"> </w:t>
      </w:r>
      <w:r w:rsidRPr="003F6306">
        <w:t>person.</w:t>
      </w:r>
      <w:r w:rsidR="00F324F0">
        <w:t xml:space="preserve"> </w:t>
      </w:r>
      <w:r w:rsidRPr="003F6306">
        <w:t>Our follow-up may involve requesting further information or documents or asking for a briefing from DHHS or DJR about what action has been taken in response to the incident.</w:t>
      </w:r>
    </w:p>
    <w:p w:rsidR="004656BE" w:rsidRPr="003F6306" w:rsidRDefault="004656BE" w:rsidP="004656BE">
      <w:r w:rsidRPr="003F6306">
        <w:rPr>
          <w:spacing w:val="-3"/>
        </w:rPr>
        <w:t xml:space="preserve">We </w:t>
      </w:r>
      <w:r w:rsidRPr="003F6306">
        <w:t xml:space="preserve">have also taken a number of steps to maximise our ability to monitor the child protection and youth justice systems through incident reports. Most notably, we entered into Memorandum of Understanding with DHHS to give effect to the </w:t>
      </w:r>
      <w:r w:rsidRPr="003F6306">
        <w:rPr>
          <w:spacing w:val="-5"/>
        </w:rPr>
        <w:t xml:space="preserve">2016 </w:t>
      </w:r>
      <w:r w:rsidRPr="003F6306">
        <w:t xml:space="preserve">legislative amendment. When responsibility for youth justice transferred from DHHS to DJR on 3 April </w:t>
      </w:r>
      <w:r w:rsidRPr="003F6306">
        <w:rPr>
          <w:spacing w:val="-9"/>
        </w:rPr>
        <w:t xml:space="preserve">2017, </w:t>
      </w:r>
      <w:r w:rsidRPr="003F6306">
        <w:t xml:space="preserve">responsibility for providing these incident reports transferred  to the Secretary of DJR. </w:t>
      </w:r>
      <w:r w:rsidRPr="003F6306">
        <w:rPr>
          <w:spacing w:val="-3"/>
        </w:rPr>
        <w:t xml:space="preserve">We </w:t>
      </w:r>
      <w:r w:rsidRPr="003F6306">
        <w:t>will work with DJR to develop a Memorandum of Understanding to ensure we receive information about all serious incidents in youth justice</w:t>
      </w:r>
      <w:r w:rsidRPr="003F6306">
        <w:rPr>
          <w:spacing w:val="15"/>
        </w:rPr>
        <w:t xml:space="preserve"> </w:t>
      </w:r>
      <w:r w:rsidRPr="003F6306">
        <w:t>facilities.</w:t>
      </w:r>
    </w:p>
    <w:p w:rsidR="004656BE" w:rsidRPr="003F6306" w:rsidRDefault="004656BE" w:rsidP="004656BE">
      <w:r w:rsidRPr="003F6306">
        <w:t>We have also contributed to the development of a new DHHS client incident management system, which will begin in 2017–18. Our feedback sought to improve our visibility of</w:t>
      </w:r>
    </w:p>
    <w:p w:rsidR="004656BE" w:rsidRDefault="004656BE" w:rsidP="004656BE">
      <w:r w:rsidRPr="003F6306">
        <w:t>a broader range of serious incidents. We will continue to work closely with the department to ensure we are notified about serious and significant incidents that affect children and young people in out-of-home care, and secure welfare services.</w:t>
      </w:r>
    </w:p>
    <w:p w:rsidR="007A01BD" w:rsidRPr="003F6306" w:rsidRDefault="00F82531" w:rsidP="004656BE">
      <w:pPr>
        <w:pStyle w:val="Heading4"/>
        <w:pBdr>
          <w:top w:val="single" w:sz="4" w:space="1" w:color="auto"/>
          <w:left w:val="single" w:sz="4" w:space="4" w:color="auto"/>
          <w:bottom w:val="single" w:sz="4" w:space="1" w:color="auto"/>
          <w:right w:val="single" w:sz="4" w:space="4" w:color="auto"/>
        </w:pBdr>
      </w:pPr>
      <w:r w:rsidRPr="003F6306">
        <w:t>CASE STUDY</w:t>
      </w:r>
      <w:r w:rsidR="004656BE">
        <w:t xml:space="preserve">: </w:t>
      </w:r>
      <w:r w:rsidRPr="003F6306">
        <w:t>Sexual exploitation</w:t>
      </w:r>
    </w:p>
    <w:p w:rsidR="007A01BD" w:rsidRPr="00F324F0" w:rsidRDefault="00F82531" w:rsidP="004656BE">
      <w:pPr>
        <w:pBdr>
          <w:top w:val="single" w:sz="4" w:space="1" w:color="auto"/>
          <w:left w:val="single" w:sz="4" w:space="4" w:color="auto"/>
          <w:bottom w:val="single" w:sz="4" w:space="1" w:color="auto"/>
          <w:right w:val="single" w:sz="4" w:space="4" w:color="auto"/>
        </w:pBdr>
      </w:pPr>
      <w:r w:rsidRPr="00F324F0">
        <w:t>In late 2016, we noted a high frequency of ‘behaviour – sexual exploitation’ incidents involving two young people, reported from the same residential care unit. We asked the relevant DHHS office to advise us about the support they were providing to each young person, particularly</w:t>
      </w:r>
      <w:r w:rsidR="004656BE">
        <w:t xml:space="preserve"> </w:t>
      </w:r>
      <w:r w:rsidRPr="00F324F0">
        <w:t>to avoid their ongoing involvement in these incidents. DHHS provided us with an overview of the risks to the young people, the support services and agencies involved (which included Victoria Police) and the strategies they put in place to reduce each young person’s risk of sexual exploitation.</w:t>
      </w:r>
    </w:p>
    <w:p w:rsidR="004656BE" w:rsidRDefault="00F82531" w:rsidP="004656BE">
      <w:pPr>
        <w:pBdr>
          <w:top w:val="single" w:sz="4" w:space="1" w:color="auto"/>
          <w:left w:val="single" w:sz="4" w:space="4" w:color="auto"/>
          <w:bottom w:val="single" w:sz="4" w:space="1" w:color="auto"/>
          <w:right w:val="single" w:sz="4" w:space="4" w:color="auto"/>
        </w:pBdr>
      </w:pPr>
      <w:r w:rsidRPr="00F324F0">
        <w:t>DHHS also reviewed the co- placements of the young people.</w:t>
      </w:r>
      <w:r w:rsidRPr="003F6306">
        <w:t>After our follow-up and DHHS actions, we received information that both young people had been involved in significantly fewer Category One incidents.</w:t>
      </w:r>
    </w:p>
    <w:p w:rsidR="004656BE" w:rsidRDefault="004656BE">
      <w:pPr>
        <w:spacing w:before="0"/>
      </w:pPr>
      <w:r>
        <w:br w:type="page"/>
      </w:r>
    </w:p>
    <w:p w:rsidR="004656BE" w:rsidRDefault="004656BE" w:rsidP="004656BE"/>
    <w:p w:rsidR="007A01BD" w:rsidRPr="003F6306" w:rsidRDefault="004656BE" w:rsidP="004656BE">
      <w:pPr>
        <w:pStyle w:val="Heading4"/>
        <w:pBdr>
          <w:top w:val="single" w:sz="4" w:space="1" w:color="auto"/>
          <w:left w:val="single" w:sz="4" w:space="4" w:color="auto"/>
          <w:bottom w:val="single" w:sz="4" w:space="1" w:color="auto"/>
          <w:right w:val="single" w:sz="4" w:space="4" w:color="auto"/>
        </w:pBdr>
      </w:pPr>
      <w:r>
        <w:t>C</w:t>
      </w:r>
      <w:r w:rsidR="00F82531" w:rsidRPr="003F6306">
        <w:t>ASE STUD</w:t>
      </w:r>
      <w:r>
        <w:t xml:space="preserve">Y: </w:t>
      </w:r>
      <w:r w:rsidR="00F324F0">
        <w:t xml:space="preserve"> </w:t>
      </w:r>
      <w:r w:rsidR="00F82531" w:rsidRPr="003F6306">
        <w:t>Conditions in residential care home</w:t>
      </w:r>
    </w:p>
    <w:p w:rsidR="007A01BD" w:rsidRPr="003F6306" w:rsidRDefault="00F82531" w:rsidP="004656BE">
      <w:pPr>
        <w:pBdr>
          <w:top w:val="single" w:sz="4" w:space="1" w:color="auto"/>
          <w:left w:val="single" w:sz="4" w:space="4" w:color="auto"/>
          <w:bottom w:val="single" w:sz="4" w:space="1" w:color="auto"/>
          <w:right w:val="single" w:sz="4" w:space="4" w:color="auto"/>
        </w:pBdr>
      </w:pPr>
      <w:r w:rsidRPr="003F6306">
        <w:rPr>
          <w:spacing w:val="-3"/>
        </w:rPr>
        <w:t xml:space="preserve">We </w:t>
      </w:r>
      <w:r w:rsidRPr="003F6306">
        <w:t xml:space="preserve">received an incident report of a residential care home in very poor condition with faeces on the </w:t>
      </w:r>
      <w:r w:rsidRPr="003F6306">
        <w:rPr>
          <w:spacing w:val="-3"/>
        </w:rPr>
        <w:t xml:space="preserve">floor, </w:t>
      </w:r>
      <w:r w:rsidRPr="003F6306">
        <w:t xml:space="preserve">in the kitchen and on the table. </w:t>
      </w:r>
      <w:r w:rsidRPr="003F6306">
        <w:rPr>
          <w:spacing w:val="-3"/>
        </w:rPr>
        <w:t xml:space="preserve">We </w:t>
      </w:r>
      <w:r w:rsidRPr="003F6306">
        <w:t>raised our concerns with the DHHS division, asking that the issue be addressed  and for assurance that the risk of</w:t>
      </w:r>
      <w:r w:rsidRPr="003F6306">
        <w:rPr>
          <w:spacing w:val="1"/>
        </w:rPr>
        <w:t xml:space="preserve"> </w:t>
      </w:r>
      <w:r w:rsidRPr="003F6306">
        <w:t>the</w:t>
      </w:r>
    </w:p>
    <w:p w:rsidR="007A01BD" w:rsidRPr="003F6306" w:rsidRDefault="00F82531" w:rsidP="004656BE">
      <w:pPr>
        <w:pBdr>
          <w:top w:val="single" w:sz="4" w:space="1" w:color="auto"/>
          <w:left w:val="single" w:sz="4" w:space="4" w:color="auto"/>
          <w:bottom w:val="single" w:sz="4" w:space="1" w:color="auto"/>
          <w:right w:val="single" w:sz="4" w:space="4" w:color="auto"/>
        </w:pBdr>
      </w:pPr>
      <w:r w:rsidRPr="003F6306">
        <w:t>issue arising again was being managed. Local Child Protection staff visits were increased and the site was cleaned up including repainting the entire house and replacing the kitchen flooring. This was confirmed by photographic evidence and a follow-up inspection by the Child Protection area</w:t>
      </w:r>
      <w:r w:rsidRPr="003F6306">
        <w:rPr>
          <w:spacing w:val="-20"/>
        </w:rPr>
        <w:t xml:space="preserve"> </w:t>
      </w:r>
      <w:r w:rsidRPr="003F6306">
        <w:t>manager.</w:t>
      </w:r>
    </w:p>
    <w:p w:rsidR="004656BE" w:rsidRDefault="004656BE">
      <w:pPr>
        <w:spacing w:before="0"/>
      </w:pPr>
    </w:p>
    <w:p w:rsidR="007A01BD" w:rsidRPr="003F6306" w:rsidRDefault="004656BE" w:rsidP="004656BE">
      <w:pPr>
        <w:pStyle w:val="Heading4"/>
        <w:pBdr>
          <w:top w:val="single" w:sz="4" w:space="1" w:color="auto"/>
          <w:left w:val="single" w:sz="4" w:space="4" w:color="auto"/>
          <w:bottom w:val="single" w:sz="4" w:space="1" w:color="auto"/>
          <w:right w:val="single" w:sz="4" w:space="4" w:color="auto"/>
        </w:pBdr>
      </w:pPr>
      <w:r>
        <w:t xml:space="preserve">CASE STUDY: </w:t>
      </w:r>
      <w:r w:rsidR="00F82531" w:rsidRPr="003F6306">
        <w:t>Sexual assault allegation</w:t>
      </w:r>
    </w:p>
    <w:p w:rsidR="007A01BD" w:rsidRPr="003F6306" w:rsidRDefault="00F82531" w:rsidP="004656BE">
      <w:pPr>
        <w:pBdr>
          <w:top w:val="single" w:sz="4" w:space="1" w:color="auto"/>
          <w:left w:val="single" w:sz="4" w:space="4" w:color="auto"/>
          <w:bottom w:val="single" w:sz="4" w:space="1" w:color="auto"/>
          <w:right w:val="single" w:sz="4" w:space="4" w:color="auto"/>
        </w:pBdr>
      </w:pPr>
      <w:r w:rsidRPr="003F6306">
        <w:rPr>
          <w:spacing w:val="-3"/>
        </w:rPr>
        <w:t xml:space="preserve">We </w:t>
      </w:r>
      <w:r w:rsidRPr="003F6306">
        <w:t xml:space="preserve">received an incident report about an allegation of the sexual assault of a young person by another young person in a residential care unit. </w:t>
      </w:r>
      <w:r w:rsidRPr="003F6306">
        <w:rPr>
          <w:spacing w:val="-3"/>
        </w:rPr>
        <w:t>We</w:t>
      </w:r>
      <w:r w:rsidRPr="003F6306">
        <w:rPr>
          <w:spacing w:val="2"/>
        </w:rPr>
        <w:t xml:space="preserve"> </w:t>
      </w:r>
      <w:r w:rsidRPr="003F6306">
        <w:t>raised</w:t>
      </w:r>
      <w:r w:rsidR="00F324F0">
        <w:t xml:space="preserve"> </w:t>
      </w:r>
      <w:r w:rsidRPr="003F6306">
        <w:t>the incident with DHHS, and asked for information about their response</w:t>
      </w:r>
      <w:r w:rsidR="00F324F0">
        <w:t xml:space="preserve"> </w:t>
      </w:r>
      <w:r w:rsidRPr="003F6306">
        <w:t>to the victim, including what support was provided and what they were doing to make sure their placement was appropriate.</w:t>
      </w:r>
    </w:p>
    <w:p w:rsidR="00F324F0" w:rsidRDefault="00F82531" w:rsidP="004656BE">
      <w:pPr>
        <w:pBdr>
          <w:top w:val="single" w:sz="4" w:space="1" w:color="auto"/>
          <w:left w:val="single" w:sz="4" w:space="4" w:color="auto"/>
          <w:bottom w:val="single" w:sz="4" w:space="1" w:color="auto"/>
          <w:right w:val="single" w:sz="4" w:space="4" w:color="auto"/>
        </w:pBdr>
      </w:pPr>
      <w:r w:rsidRPr="003F6306">
        <w:t>DHHS reported the assault to Victoria Police and offered the alleged victim therapeutic support. The unit was double-staffed with an active member every evening while an alternative placement was being explored. The alleged perpetrator was moved three days after the alleged incident.</w:t>
      </w:r>
    </w:p>
    <w:p w:rsidR="007A01BD" w:rsidRPr="003F6306" w:rsidRDefault="00F82531" w:rsidP="00F324F0">
      <w:pPr>
        <w:pStyle w:val="Heading3"/>
      </w:pPr>
      <w:r w:rsidRPr="003F6306">
        <w:t>Incident reports in out-of-home care</w:t>
      </w:r>
    </w:p>
    <w:p w:rsidR="007A01BD" w:rsidRPr="003F6306" w:rsidRDefault="00F82531" w:rsidP="00F324F0">
      <w:r w:rsidRPr="003F6306">
        <w:t>We receive Category One incident reports for children in foster care, kinship care, residential care, lead-tenant settings and secure welfare services. This year, DHHS provided us 2,623 Category One incident reports, representing a</w:t>
      </w:r>
    </w:p>
    <w:p w:rsidR="004656BE" w:rsidRDefault="00F82531" w:rsidP="00F324F0">
      <w:r w:rsidRPr="00F324F0">
        <w:t>7.5 per cent decrease compared to the previous financial year (2,833 incident reports) (Table8). Some of the reports we receive may relate to alleged incidents that occurred in previous financial years.</w:t>
      </w:r>
      <w:r w:rsidR="00F324F0" w:rsidRPr="00F324F0">
        <w:t xml:space="preserve"> </w:t>
      </w:r>
    </w:p>
    <w:p w:rsidR="004656BE" w:rsidRDefault="004656BE" w:rsidP="004656BE">
      <w:r>
        <w:br w:type="page"/>
      </w:r>
    </w:p>
    <w:p w:rsidR="004656BE" w:rsidRPr="00F324F0" w:rsidRDefault="004656BE" w:rsidP="004656BE">
      <w:pPr>
        <w:pStyle w:val="Caption"/>
      </w:pPr>
      <w:bookmarkStart w:id="49" w:name="_Toc496019886"/>
      <w:r>
        <w:lastRenderedPageBreak/>
        <w:t xml:space="preserve">Table </w:t>
      </w:r>
      <w:r>
        <w:fldChar w:fldCharType="begin"/>
      </w:r>
      <w:r>
        <w:instrText xml:space="preserve"> SEQ Table \* ARABIC </w:instrText>
      </w:r>
      <w:r>
        <w:fldChar w:fldCharType="separate"/>
      </w:r>
      <w:r w:rsidR="00DF01C3">
        <w:rPr>
          <w:noProof/>
        </w:rPr>
        <w:t>8</w:t>
      </w:r>
      <w:r>
        <w:fldChar w:fldCharType="end"/>
      </w:r>
      <w:r>
        <w:t xml:space="preserve"> </w:t>
      </w:r>
      <w:r w:rsidRPr="00C44166">
        <w:t>Category One client incident reports for children in out-of-home care between 2015–17, by type of incident reported</w:t>
      </w:r>
      <w:r>
        <w:rPr>
          <w:rStyle w:val="FootnoteReference"/>
        </w:rPr>
        <w:footnoteReference w:id="16"/>
      </w:r>
      <w:bookmarkEnd w:id="49"/>
    </w:p>
    <w:tbl>
      <w:tblPr>
        <w:tblStyle w:val="LightList-Accent1"/>
        <w:tblW w:w="9510" w:type="dxa"/>
        <w:tblLayout w:type="fixed"/>
        <w:tblLook w:val="01E0" w:firstRow="1" w:lastRow="1" w:firstColumn="1" w:lastColumn="1" w:noHBand="0" w:noVBand="0"/>
      </w:tblPr>
      <w:tblGrid>
        <w:gridCol w:w="3012"/>
        <w:gridCol w:w="1980"/>
        <w:gridCol w:w="2282"/>
        <w:gridCol w:w="2236"/>
      </w:tblGrid>
      <w:tr w:rsidR="004656BE" w:rsidRPr="00F324F0" w:rsidTr="004656B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4656BE">
            <w:r w:rsidRPr="00F324F0">
              <w:t>Incident type</w:t>
            </w:r>
            <w:r>
              <w:rPr>
                <w:rStyle w:val="FootnoteReference"/>
              </w:rPr>
              <w:footnoteReference w:id="17"/>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2015–16</w:t>
            </w:r>
          </w:p>
        </w:tc>
        <w:tc>
          <w:tcPr>
            <w:tcW w:w="2282" w:type="dxa"/>
          </w:tcPr>
          <w:p w:rsidR="004656BE" w:rsidRPr="00F324F0" w:rsidRDefault="004656BE" w:rsidP="00F324F0">
            <w:pPr>
              <w:cnfStyle w:val="100000000000" w:firstRow="1" w:lastRow="0" w:firstColumn="0" w:lastColumn="0" w:oddVBand="0" w:evenVBand="0" w:oddHBand="0" w:evenHBand="0" w:firstRowFirstColumn="0" w:firstRowLastColumn="0" w:lastRowFirstColumn="0" w:lastRowLastColumn="0"/>
            </w:pPr>
            <w:r w:rsidRPr="00F324F0">
              <w:t>2016–17</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rsidRPr="00F324F0">
              <w:t>Per cent change</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Behaviour – sexual exploitation</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412</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394</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4</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Physical assault</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337</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352</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4</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Behaviour – dangerous</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345</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314</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9</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Absent/missing person</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286</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299</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5</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Sexual assault – indecent</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200</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222</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11</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Behaviour – sexual</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269</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202</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25</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Sexual assault – rape</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138</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132</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4</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Poor quality of care</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134</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127</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5</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Illness</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176</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122</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31</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Suicide attempted</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69</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83</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20</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Self harm</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76</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77</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1</w:t>
            </w:r>
          </w:p>
        </w:tc>
      </w:tr>
      <w:tr w:rsidR="004656BE" w:rsidRPr="00F324F0" w:rsidTr="004656BE">
        <w:trPr>
          <w:trHeight w:val="58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Medical condition (known)</w:t>
            </w:r>
          </w:p>
          <w:p w:rsidR="004656BE" w:rsidRPr="00F324F0" w:rsidRDefault="004656BE" w:rsidP="00F324F0">
            <w:r w:rsidRPr="00F324F0">
              <w:t>– deterioration</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43</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64</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+4</w:t>
            </w:r>
            <w:r w:rsidRPr="00F324F0">
              <w:t>9</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Breach of privacy/confidentiality matters</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71</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62</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4656BE" w:rsidP="00F324F0">
            <w:r>
              <w:t>-</w:t>
            </w:r>
            <w:r w:rsidRPr="00F324F0">
              <w:t>13</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Injury</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96</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60</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38</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Drug/alcohol</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40</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40</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0</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Community concern</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93</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38</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59</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Property damage/disruption</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14</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10</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29</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Possession</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1</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8</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700</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Behaviour – disruptive</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8</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5</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38</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Death – other</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5</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5</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0</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Medication Error</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2</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4</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100</w:t>
            </w:r>
          </w:p>
        </w:tc>
      </w:tr>
      <w:tr w:rsidR="004656BE" w:rsidRPr="00F324F0" w:rsidTr="004656BE">
        <w:trPr>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lastRenderedPageBreak/>
              <w:t>Death – client</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15</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1</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93</w:t>
            </w:r>
          </w:p>
        </w:tc>
      </w:tr>
      <w:tr w:rsidR="004656BE" w:rsidRPr="00F324F0" w:rsidTr="004656B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Escape from centre</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3</w:t>
            </w:r>
          </w:p>
        </w:tc>
        <w:tc>
          <w:tcPr>
            <w:tcW w:w="2282" w:type="dxa"/>
          </w:tcPr>
          <w:p w:rsidR="004656BE" w:rsidRPr="00F324F0" w:rsidRDefault="004656BE" w:rsidP="00F324F0">
            <w:pPr>
              <w:cnfStyle w:val="000000100000" w:firstRow="0" w:lastRow="0" w:firstColumn="0" w:lastColumn="0" w:oddVBand="0" w:evenVBand="0" w:oddHBand="1" w:evenHBand="0" w:firstRowFirstColumn="0" w:firstRowLastColumn="0" w:lastRowFirstColumn="0" w:lastRowLastColumn="0"/>
            </w:pPr>
            <w:r w:rsidRPr="00F324F0">
              <w:t>1</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67</w:t>
            </w:r>
          </w:p>
        </w:tc>
      </w:tr>
      <w:tr w:rsidR="004656BE" w:rsidRPr="00F324F0" w:rsidTr="004656BE">
        <w:trPr>
          <w:trHeight w:val="40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Escape from temporary leave</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0</w:t>
            </w:r>
          </w:p>
        </w:tc>
        <w:tc>
          <w:tcPr>
            <w:tcW w:w="2282" w:type="dxa"/>
          </w:tcPr>
          <w:p w:rsidR="004656BE" w:rsidRPr="00F324F0" w:rsidRDefault="004656BE" w:rsidP="00F324F0">
            <w:pPr>
              <w:cnfStyle w:val="000000000000" w:firstRow="0" w:lastRow="0" w:firstColumn="0" w:lastColumn="0" w:oddVBand="0" w:evenVBand="0" w:oddHBand="0" w:evenHBand="0" w:firstRowFirstColumn="0" w:firstRowLastColumn="0" w:lastRowFirstColumn="0" w:lastRowLastColumn="0"/>
            </w:pPr>
            <w:r w:rsidRPr="00F324F0">
              <w:t>1</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1</w:t>
            </w:r>
          </w:p>
        </w:tc>
      </w:tr>
      <w:tr w:rsidR="004656BE" w:rsidRPr="00F324F0" w:rsidTr="004656BE">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2" w:type="dxa"/>
          </w:tcPr>
          <w:p w:rsidR="004656BE" w:rsidRPr="00F324F0" w:rsidRDefault="004656BE" w:rsidP="00F324F0">
            <w:r w:rsidRPr="00F324F0">
              <w:t>Total</w:t>
            </w:r>
          </w:p>
        </w:tc>
        <w:tc>
          <w:tcPr>
            <w:cnfStyle w:val="000010000000" w:firstRow="0" w:lastRow="0" w:firstColumn="0" w:lastColumn="0" w:oddVBand="1" w:evenVBand="0" w:oddHBand="0" w:evenHBand="0" w:firstRowFirstColumn="0" w:firstRowLastColumn="0" w:lastRowFirstColumn="0" w:lastRowLastColumn="0"/>
            <w:tcW w:w="1980" w:type="dxa"/>
          </w:tcPr>
          <w:p w:rsidR="004656BE" w:rsidRPr="00F324F0" w:rsidRDefault="004656BE" w:rsidP="00F324F0">
            <w:r w:rsidRPr="00F324F0">
              <w:t>2833</w:t>
            </w:r>
          </w:p>
        </w:tc>
        <w:tc>
          <w:tcPr>
            <w:tcW w:w="2282" w:type="dxa"/>
          </w:tcPr>
          <w:p w:rsidR="004656BE" w:rsidRPr="00F324F0" w:rsidRDefault="004656BE" w:rsidP="00F324F0">
            <w:pPr>
              <w:cnfStyle w:val="010000000000" w:firstRow="0" w:lastRow="1" w:firstColumn="0" w:lastColumn="0" w:oddVBand="0" w:evenVBand="0" w:oddHBand="0" w:evenHBand="0" w:firstRowFirstColumn="0" w:firstRowLastColumn="0" w:lastRowFirstColumn="0" w:lastRowLastColumn="0"/>
            </w:pPr>
            <w:r w:rsidRPr="00F324F0">
              <w:t>2623</w:t>
            </w:r>
          </w:p>
        </w:tc>
        <w:tc>
          <w:tcPr>
            <w:cnfStyle w:val="000100000000" w:firstRow="0" w:lastRow="0" w:firstColumn="0" w:lastColumn="1" w:oddVBand="0" w:evenVBand="0" w:oddHBand="0" w:evenHBand="0" w:firstRowFirstColumn="0" w:firstRowLastColumn="0" w:lastRowFirstColumn="0" w:lastRowLastColumn="0"/>
            <w:tcW w:w="2236" w:type="dxa"/>
          </w:tcPr>
          <w:p w:rsidR="004656BE" w:rsidRPr="00F324F0" w:rsidRDefault="00FB6950" w:rsidP="00F324F0">
            <w:r>
              <w:t>-</w:t>
            </w:r>
            <w:r w:rsidR="004656BE" w:rsidRPr="00F324F0">
              <w:t>7</w:t>
            </w:r>
          </w:p>
        </w:tc>
      </w:tr>
    </w:tbl>
    <w:p w:rsidR="007A01BD" w:rsidRPr="003F6306" w:rsidRDefault="00F82531" w:rsidP="00F324F0">
      <w:pPr>
        <w:pStyle w:val="Heading3"/>
      </w:pPr>
      <w:r w:rsidRPr="003F6306">
        <w:t>Type of incidents reported</w:t>
      </w:r>
    </w:p>
    <w:p w:rsidR="007A01BD" w:rsidRPr="003F6306" w:rsidRDefault="00F82531" w:rsidP="00F324F0">
      <w:r w:rsidRPr="003F6306">
        <w:t>This year, the most reported incident in out-of-home care was ‘behaviour</w:t>
      </w:r>
      <w:r w:rsidR="00F324F0">
        <w:t>-</w:t>
      </w:r>
      <w:r w:rsidRPr="003F6306">
        <w:t>sexual exploitation’, representing 15 per cent of all incidents reported (394 incident reports).</w:t>
      </w:r>
    </w:p>
    <w:p w:rsidR="007A01BD" w:rsidRPr="003F6306" w:rsidRDefault="00F82531" w:rsidP="00F324F0">
      <w:pPr>
        <w:rPr>
          <w:sz w:val="12"/>
        </w:rPr>
      </w:pPr>
      <w:r w:rsidRPr="003F6306">
        <w:t>This was followed by ‘behaviour dangerous’ (12 per cent, 314 incidents). Behaviour</w:t>
      </w:r>
      <w:r w:rsidR="00F324F0">
        <w:t xml:space="preserve"> </w:t>
      </w:r>
      <w:r w:rsidRPr="003F6306">
        <w:t>by a child or young person that puts themselves or others at risk of harm is considered ‘dangerous’.</w:t>
      </w:r>
      <w:r w:rsidR="00FB6950">
        <w:rPr>
          <w:rStyle w:val="FootnoteReference"/>
        </w:rPr>
        <w:footnoteReference w:id="18"/>
      </w:r>
    </w:p>
    <w:p w:rsidR="007A01BD" w:rsidRPr="003F6306" w:rsidRDefault="00F82531" w:rsidP="001B0147">
      <w:pPr>
        <w:rPr>
          <w:sz w:val="12"/>
        </w:rPr>
      </w:pPr>
      <w:r w:rsidRPr="003F6306">
        <w:t>In 2016–17, 352 incidents related to alleged physical assaults, comprising just over 13 per cent of all incidents. As Figure 1 shows, more than half (200 in total) related to reports of alleged staff assaults on children and young people.</w:t>
      </w:r>
      <w:r w:rsidR="00FB6950">
        <w:rPr>
          <w:rStyle w:val="FootnoteReference"/>
        </w:rPr>
        <w:footnoteReference w:id="19"/>
      </w:r>
    </w:p>
    <w:p w:rsidR="007A01BD" w:rsidRPr="00F324F0" w:rsidRDefault="00F82531" w:rsidP="00F324F0">
      <w:r w:rsidRPr="00F324F0">
        <w:t>Figure 1. Alleged physical assault incidents in out-of-home care reported to the Commission in 2016–17</w:t>
      </w:r>
    </w:p>
    <w:p w:rsidR="007A01BD" w:rsidRPr="003F6306" w:rsidRDefault="00F82531" w:rsidP="001B0147">
      <w:pPr>
        <w:rPr>
          <w:sz w:val="12"/>
        </w:rPr>
      </w:pPr>
      <w:r w:rsidRPr="003F6306">
        <w:t>These figures show that there has beena small decrease in the number of incidents involving sexual exploitation or dangerous behaviour. However, the proportion of both incident types out of the total reports from</w:t>
      </w:r>
      <w:r w:rsidR="00F324F0">
        <w:t xml:space="preserve"> </w:t>
      </w:r>
      <w:r w:rsidRPr="003F6306">
        <w:t>out-of-home care remains the same compared to 2015–16.</w:t>
      </w:r>
      <w:r w:rsidRPr="003F6306">
        <w:rPr>
          <w:position w:val="8"/>
          <w:sz w:val="12"/>
        </w:rPr>
        <w:t>19</w:t>
      </w:r>
    </w:p>
    <w:p w:rsidR="007A01BD" w:rsidRPr="003F6306" w:rsidRDefault="00F82531" w:rsidP="001B0147">
      <w:r w:rsidRPr="003F6306">
        <w:t>We remain concerned about these figures, in particular the high proportion of reports</w:t>
      </w:r>
      <w:r w:rsidR="00F324F0">
        <w:t xml:space="preserve"> </w:t>
      </w:r>
      <w:r w:rsidRPr="003F6306">
        <w:t>of sexual exploitation in residential care.</w:t>
      </w:r>
    </w:p>
    <w:p w:rsidR="007A01BD" w:rsidRPr="00FB6950" w:rsidRDefault="00F82531" w:rsidP="00FB6950">
      <w:r w:rsidRPr="003F6306">
        <w:t>We continue to monitor the government’s implementation of recommendations we made in our 2015 report … as a good parent would … to address this issue. This is discussed in more detail on page 18.</w:t>
      </w:r>
      <w:r w:rsidRPr="00FB6950">
        <w:rPr>
          <w:i/>
          <w:w w:val="90"/>
          <w:sz w:val="14"/>
        </w:rPr>
        <w:t>.</w:t>
      </w:r>
    </w:p>
    <w:p w:rsidR="00F324F0" w:rsidRDefault="00FB6950" w:rsidP="00FB6950">
      <w:r>
        <w:t>In 2016-17, 352 incidents related to alleged physical assaults, comprising just over 13 per cet of all incidents. As figure 1 shows, more than havel (200 in total) related to report os alleged staff assaults on children and young people.</w:t>
      </w:r>
      <w:r>
        <w:rPr>
          <w:rStyle w:val="FootnoteReference"/>
        </w:rPr>
        <w:footnoteReference w:id="20"/>
      </w:r>
    </w:p>
    <w:p w:rsidR="007A01BD" w:rsidRPr="00F324F0" w:rsidRDefault="00F82531" w:rsidP="00F324F0">
      <w:r w:rsidRPr="00F324F0">
        <w:t>In addition, 222 reports related to ‘sexual assault</w:t>
      </w:r>
      <w:r w:rsidR="00F324F0">
        <w:t xml:space="preserve"> </w:t>
      </w:r>
      <w:r w:rsidRPr="00F324F0">
        <w:t>– indecent’. Reports in this category comprised 7 per cent of all incident reports. More than two- thirds (143 of 222) of ‘sexual assault – indecent’ incident reports were about alleged sexual assaults by people outside of the out-of-home care setting against children (Figure 2).</w:t>
      </w:r>
    </w:p>
    <w:p w:rsidR="00835EB1" w:rsidRDefault="00F82531" w:rsidP="00F324F0">
      <w:r w:rsidRPr="00F324F0">
        <w:t>Four per cent (132) of all incident reports related to alleged rape, of which three-quarters (104) were recorded as being from people outside of the out-of-home care setting against children and young people (Figure 3). These are deeply troubling figures and we will monitor actions taken to reduce them.</w:t>
      </w:r>
    </w:p>
    <w:p w:rsidR="00835EB1" w:rsidRDefault="00835EB1">
      <w:pPr>
        <w:spacing w:before="0"/>
      </w:pPr>
      <w:r>
        <w:br w:type="page"/>
      </w:r>
    </w:p>
    <w:p w:rsidR="007A01BD" w:rsidRPr="00F324F0" w:rsidRDefault="007A01BD" w:rsidP="00F324F0"/>
    <w:p w:rsidR="00835EB1" w:rsidRPr="00FB683D" w:rsidRDefault="00835EB1" w:rsidP="00835EB1">
      <w:pPr>
        <w:pStyle w:val="Caption"/>
        <w:rPr>
          <w:rFonts w:eastAsia="Helvetica Neue"/>
          <w:noProof/>
          <w:szCs w:val="20"/>
          <w:lang w:val="en-US"/>
        </w:rPr>
      </w:pPr>
      <w:bookmarkStart w:id="50" w:name="_Toc496019899"/>
      <w:r>
        <w:t xml:space="preserve">Figure </w:t>
      </w:r>
      <w:r>
        <w:fldChar w:fldCharType="begin"/>
      </w:r>
      <w:r>
        <w:instrText xml:space="preserve"> SEQ Figure \* ARABIC </w:instrText>
      </w:r>
      <w:r>
        <w:fldChar w:fldCharType="separate"/>
      </w:r>
      <w:r>
        <w:rPr>
          <w:noProof/>
        </w:rPr>
        <w:t>1</w:t>
      </w:r>
      <w:r>
        <w:fldChar w:fldCharType="end"/>
      </w:r>
      <w:r>
        <w:t xml:space="preserve"> Alleged physical assaults incidents in out-of-home care reported to the Commission in 2016-17</w:t>
      </w:r>
      <w:bookmarkEnd w:id="50"/>
    </w:p>
    <w:p w:rsidR="00835EB1" w:rsidRDefault="00FB6950" w:rsidP="00F324F0">
      <w:r>
        <w:rPr>
          <w:noProof/>
          <w:lang w:val="en-AU" w:eastAsia="en-AU"/>
        </w:rPr>
        <w:drawing>
          <wp:inline distT="0" distB="0" distL="0" distR="0" wp14:anchorId="30BB4EAE" wp14:editId="1CC64035">
            <wp:extent cx="3078480" cy="2934335"/>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EB1" w:rsidRDefault="00835EB1" w:rsidP="00F324F0"/>
    <w:p w:rsidR="00835EB1" w:rsidRDefault="00835EB1" w:rsidP="00835EB1">
      <w:pPr>
        <w:pStyle w:val="Caption"/>
        <w:keepNext/>
      </w:pPr>
      <w:bookmarkStart w:id="51" w:name="_Toc496019900"/>
      <w:r>
        <w:t xml:space="preserve">Figure </w:t>
      </w:r>
      <w:r>
        <w:fldChar w:fldCharType="begin"/>
      </w:r>
      <w:r>
        <w:instrText xml:space="preserve"> SEQ Figure \* ARABIC </w:instrText>
      </w:r>
      <w:r>
        <w:fldChar w:fldCharType="separate"/>
      </w:r>
      <w:r>
        <w:rPr>
          <w:noProof/>
        </w:rPr>
        <w:t>2</w:t>
      </w:r>
      <w:r>
        <w:fldChar w:fldCharType="end"/>
      </w:r>
      <w:r>
        <w:t xml:space="preserve"> Alleged sexual assault incident in out-of-home care reported to the Commission in 2016-17</w:t>
      </w:r>
      <w:bookmarkEnd w:id="51"/>
    </w:p>
    <w:p w:rsidR="00FB6950" w:rsidRDefault="00FB6950" w:rsidP="00F324F0">
      <w:r>
        <w:rPr>
          <w:noProof/>
          <w:lang w:val="en-AU" w:eastAsia="en-AU"/>
        </w:rPr>
        <w:drawing>
          <wp:inline distT="0" distB="0" distL="0" distR="0" wp14:anchorId="7C99EBCF" wp14:editId="37F84F63">
            <wp:extent cx="2952115" cy="2934335"/>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5EB1" w:rsidRDefault="00835EB1" w:rsidP="00835EB1">
      <w:pPr>
        <w:pStyle w:val="Caption"/>
        <w:keepNext/>
      </w:pPr>
      <w:bookmarkStart w:id="52" w:name="_Toc496019901"/>
      <w:r>
        <w:lastRenderedPageBreak/>
        <w:t xml:space="preserve">Figure </w:t>
      </w:r>
      <w:r>
        <w:fldChar w:fldCharType="begin"/>
      </w:r>
      <w:r>
        <w:instrText xml:space="preserve"> SEQ Figure \* ARABIC </w:instrText>
      </w:r>
      <w:r>
        <w:fldChar w:fldCharType="separate"/>
      </w:r>
      <w:r>
        <w:rPr>
          <w:noProof/>
        </w:rPr>
        <w:t>3</w:t>
      </w:r>
      <w:r>
        <w:fldChar w:fldCharType="end"/>
      </w:r>
      <w:r>
        <w:t xml:space="preserve"> Alleged rape incidents in out-of-home care reported to the Commission in 2016-17</w:t>
      </w:r>
      <w:bookmarkEnd w:id="52"/>
    </w:p>
    <w:p w:rsidR="00FB6950" w:rsidRDefault="00FB6950" w:rsidP="00F324F0">
      <w:r>
        <w:rPr>
          <w:noProof/>
          <w:lang w:val="en-AU" w:eastAsia="en-AU"/>
        </w:rPr>
        <w:drawing>
          <wp:inline distT="0" distB="0" distL="0" distR="0" wp14:anchorId="4C0A4954" wp14:editId="41ABF67B">
            <wp:extent cx="2930525" cy="2732405"/>
            <wp:effectExtent l="0" t="0" r="3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2531" w:rsidRPr="00F324F0" w:rsidRDefault="00F82531" w:rsidP="00F324F0">
      <w:r w:rsidRPr="00F324F0">
        <w:t>These figures should be considered in the context of increasing numbers of children and young people in out-of-home care. Meanwhile, the number of children in residential care, which typically reports the highest number of Category</w:t>
      </w:r>
      <w:r w:rsidR="00F324F0">
        <w:t xml:space="preserve"> </w:t>
      </w:r>
      <w:r w:rsidRPr="00F324F0">
        <w:t>One incidents, has reduced.</w:t>
      </w:r>
    </w:p>
    <w:p w:rsidR="007A01BD" w:rsidRPr="003F6306" w:rsidRDefault="00F82531" w:rsidP="00F324F0">
      <w:pPr>
        <w:pStyle w:val="Heading4"/>
      </w:pPr>
      <w:r w:rsidRPr="003F6306">
        <w:t>Incident reports by placement type</w:t>
      </w:r>
    </w:p>
    <w:p w:rsidR="00F324F0" w:rsidRDefault="00F82531" w:rsidP="00F324F0">
      <w:r w:rsidRPr="003F6306">
        <w:t xml:space="preserve">Although almost 5 per cent of children in out-of- home care were in residential care, more than  70 per cent of the Category One incident reports related to children in residential care. This is an increase compared to </w:t>
      </w:r>
      <w:r w:rsidRPr="003F6306">
        <w:rPr>
          <w:spacing w:val="-4"/>
        </w:rPr>
        <w:t xml:space="preserve">2015–16, </w:t>
      </w:r>
      <w:r w:rsidRPr="003F6306">
        <w:t>when 62 per cent of all Category One incident reports were about children in residential care (Table</w:t>
      </w:r>
      <w:r w:rsidRPr="003F6306">
        <w:rPr>
          <w:spacing w:val="15"/>
        </w:rPr>
        <w:t xml:space="preserve"> </w:t>
      </w:r>
      <w:r w:rsidRPr="003F6306">
        <w:t>9).</w:t>
      </w:r>
    </w:p>
    <w:p w:rsidR="007A01BD" w:rsidRPr="003F6306" w:rsidRDefault="00F82531" w:rsidP="00F324F0">
      <w:r w:rsidRPr="003F6306">
        <w:rPr>
          <w:spacing w:val="-3"/>
        </w:rPr>
        <w:t xml:space="preserve">We </w:t>
      </w:r>
      <w:r w:rsidRPr="003F6306">
        <w:t xml:space="preserve">remain concerned about the disproportionately high number of incidents being reported about children and young people in residential care. </w:t>
      </w:r>
      <w:r w:rsidRPr="003F6306">
        <w:rPr>
          <w:spacing w:val="-3"/>
        </w:rPr>
        <w:t xml:space="preserve">We </w:t>
      </w:r>
      <w:r w:rsidRPr="003F6306">
        <w:t xml:space="preserve">are monitoring the work done by DHHS to better support, and reduce  the number </w:t>
      </w:r>
      <w:r w:rsidRPr="003F6306">
        <w:rPr>
          <w:spacing w:val="-3"/>
        </w:rPr>
        <w:t xml:space="preserve">of, </w:t>
      </w:r>
      <w:r w:rsidRPr="003F6306">
        <w:t>children and young people in residential care</w:t>
      </w:r>
      <w:r w:rsidRPr="003F6306">
        <w:rPr>
          <w:spacing w:val="21"/>
        </w:rPr>
        <w:t xml:space="preserve"> </w:t>
      </w:r>
      <w:r w:rsidRPr="003F6306">
        <w:t>placements.</w:t>
      </w:r>
    </w:p>
    <w:p w:rsidR="007A01BD" w:rsidRDefault="00835EB1" w:rsidP="00835EB1">
      <w:pPr>
        <w:pStyle w:val="Caption"/>
      </w:pPr>
      <w:bookmarkStart w:id="53" w:name="_Toc496019887"/>
      <w:r>
        <w:t xml:space="preserve">Table </w:t>
      </w:r>
      <w:r>
        <w:fldChar w:fldCharType="begin"/>
      </w:r>
      <w:r>
        <w:instrText xml:space="preserve"> SEQ Table \* ARABIC </w:instrText>
      </w:r>
      <w:r>
        <w:fldChar w:fldCharType="separate"/>
      </w:r>
      <w:r w:rsidR="00DF01C3">
        <w:rPr>
          <w:noProof/>
        </w:rPr>
        <w:t>9</w:t>
      </w:r>
      <w:r>
        <w:fldChar w:fldCharType="end"/>
      </w:r>
      <w:r>
        <w:t xml:space="preserve"> </w:t>
      </w:r>
      <w:r w:rsidRPr="00851459">
        <w:t>Category One client incident reports for children in out-of</w:t>
      </w:r>
      <w:r>
        <w:t>-home care, by placement type.</w:t>
      </w:r>
      <w:r w:rsidR="00EA3248">
        <w:rPr>
          <w:rStyle w:val="FootnoteReference"/>
        </w:rPr>
        <w:footnoteReference w:id="21"/>
      </w:r>
      <w:bookmarkEnd w:id="53"/>
    </w:p>
    <w:tbl>
      <w:tblPr>
        <w:tblW w:w="8800" w:type="dxa"/>
        <w:tblInd w:w="93" w:type="dxa"/>
        <w:tblLook w:val="04A0" w:firstRow="1" w:lastRow="0" w:firstColumn="1" w:lastColumn="0" w:noHBand="0" w:noVBand="1"/>
      </w:tblPr>
      <w:tblGrid>
        <w:gridCol w:w="1480"/>
        <w:gridCol w:w="1720"/>
        <w:gridCol w:w="1880"/>
        <w:gridCol w:w="1700"/>
        <w:gridCol w:w="2020"/>
      </w:tblGrid>
      <w:tr w:rsidR="00835EB1" w:rsidRPr="001E2B9E" w:rsidTr="00F601A7">
        <w:trPr>
          <w:trHeight w:val="585"/>
        </w:trPr>
        <w:tc>
          <w:tcPr>
            <w:tcW w:w="1480" w:type="dxa"/>
            <w:vMerge w:val="restart"/>
            <w:tcBorders>
              <w:top w:val="single" w:sz="8" w:space="0" w:color="auto"/>
              <w:left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Placement type</w:t>
            </w:r>
          </w:p>
        </w:tc>
        <w:tc>
          <w:tcPr>
            <w:tcW w:w="3600" w:type="dxa"/>
            <w:gridSpan w:val="2"/>
            <w:tcBorders>
              <w:top w:val="single" w:sz="8" w:space="0" w:color="auto"/>
              <w:left w:val="nil"/>
              <w:bottom w:val="single" w:sz="8" w:space="0" w:color="auto"/>
              <w:right w:val="single" w:sz="8" w:space="0" w:color="000000"/>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201</w:t>
            </w:r>
            <w:r>
              <w:rPr>
                <w:rFonts w:cs="Arial"/>
                <w:color w:val="000000"/>
                <w:szCs w:val="22"/>
                <w:lang w:eastAsia="en-AU"/>
              </w:rPr>
              <w:t>5</w:t>
            </w:r>
            <w:r w:rsidRPr="001E2B9E">
              <w:rPr>
                <w:rFonts w:cs="Arial"/>
                <w:color w:val="000000"/>
                <w:szCs w:val="22"/>
                <w:lang w:eastAsia="en-AU"/>
              </w:rPr>
              <w:t>-1</w:t>
            </w:r>
            <w:r>
              <w:rPr>
                <w:rFonts w:cs="Arial"/>
                <w:color w:val="000000"/>
                <w:szCs w:val="22"/>
                <w:lang w:eastAsia="en-AU"/>
              </w:rPr>
              <w:t>6</w:t>
            </w:r>
          </w:p>
        </w:tc>
        <w:tc>
          <w:tcPr>
            <w:tcW w:w="3720" w:type="dxa"/>
            <w:gridSpan w:val="2"/>
            <w:tcBorders>
              <w:top w:val="single" w:sz="8" w:space="0" w:color="auto"/>
              <w:left w:val="nil"/>
              <w:bottom w:val="single" w:sz="8" w:space="0" w:color="auto"/>
              <w:right w:val="single" w:sz="8" w:space="0" w:color="000000"/>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201</w:t>
            </w:r>
            <w:r>
              <w:rPr>
                <w:rFonts w:cs="Arial"/>
                <w:color w:val="000000"/>
                <w:szCs w:val="22"/>
                <w:lang w:eastAsia="en-AU"/>
              </w:rPr>
              <w:t>6</w:t>
            </w:r>
            <w:r w:rsidRPr="001E2B9E">
              <w:rPr>
                <w:rFonts w:cs="Arial"/>
                <w:color w:val="000000"/>
                <w:szCs w:val="22"/>
                <w:lang w:eastAsia="en-AU"/>
              </w:rPr>
              <w:t>-1</w:t>
            </w:r>
            <w:r>
              <w:rPr>
                <w:rFonts w:cs="Arial"/>
                <w:color w:val="000000"/>
                <w:szCs w:val="22"/>
                <w:lang w:eastAsia="en-AU"/>
              </w:rPr>
              <w:t>7</w:t>
            </w:r>
          </w:p>
        </w:tc>
      </w:tr>
      <w:tr w:rsidR="00835EB1" w:rsidRPr="001E2B9E" w:rsidTr="00F601A7">
        <w:trPr>
          <w:trHeight w:val="1725"/>
        </w:trPr>
        <w:tc>
          <w:tcPr>
            <w:tcW w:w="1480" w:type="dxa"/>
            <w:vMerge/>
            <w:tcBorders>
              <w:left w:val="single" w:sz="8" w:space="0" w:color="auto"/>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p>
        </w:tc>
        <w:tc>
          <w:tcPr>
            <w:tcW w:w="1720" w:type="dxa"/>
            <w:tcBorders>
              <w:top w:val="nil"/>
              <w:left w:val="nil"/>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 xml:space="preserve">Proportion of children in OOHC </w:t>
            </w:r>
          </w:p>
        </w:tc>
        <w:tc>
          <w:tcPr>
            <w:tcW w:w="1880" w:type="dxa"/>
            <w:tcBorders>
              <w:top w:val="nil"/>
              <w:left w:val="nil"/>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Proportion of Category One incidents</w:t>
            </w:r>
          </w:p>
        </w:tc>
        <w:tc>
          <w:tcPr>
            <w:tcW w:w="1700" w:type="dxa"/>
            <w:tcBorders>
              <w:top w:val="nil"/>
              <w:left w:val="nil"/>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 xml:space="preserve">Proportion of children in OOHC </w:t>
            </w:r>
          </w:p>
        </w:tc>
        <w:tc>
          <w:tcPr>
            <w:tcW w:w="2020" w:type="dxa"/>
            <w:tcBorders>
              <w:top w:val="nil"/>
              <w:left w:val="nil"/>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Proportion of Category One incidents</w:t>
            </w:r>
          </w:p>
        </w:tc>
      </w:tr>
      <w:tr w:rsidR="00835EB1" w:rsidRPr="001E2B9E" w:rsidTr="00F601A7">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Kinship care</w:t>
            </w:r>
          </w:p>
        </w:tc>
        <w:tc>
          <w:tcPr>
            <w:tcW w:w="17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60%</w:t>
            </w:r>
          </w:p>
        </w:tc>
        <w:tc>
          <w:tcPr>
            <w:tcW w:w="188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12%</w:t>
            </w:r>
          </w:p>
        </w:tc>
        <w:tc>
          <w:tcPr>
            <w:tcW w:w="170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61%</w:t>
            </w:r>
          </w:p>
        </w:tc>
        <w:tc>
          <w:tcPr>
            <w:tcW w:w="20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8%</w:t>
            </w:r>
          </w:p>
        </w:tc>
      </w:tr>
      <w:tr w:rsidR="00835EB1" w:rsidRPr="001E2B9E" w:rsidTr="00F601A7">
        <w:trPr>
          <w:trHeight w:val="585"/>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Home based care</w:t>
            </w:r>
          </w:p>
        </w:tc>
        <w:tc>
          <w:tcPr>
            <w:tcW w:w="17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17%</w:t>
            </w:r>
          </w:p>
        </w:tc>
        <w:tc>
          <w:tcPr>
            <w:tcW w:w="188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20%</w:t>
            </w:r>
          </w:p>
        </w:tc>
        <w:tc>
          <w:tcPr>
            <w:tcW w:w="170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17%</w:t>
            </w:r>
          </w:p>
        </w:tc>
        <w:tc>
          <w:tcPr>
            <w:tcW w:w="20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21%</w:t>
            </w:r>
          </w:p>
        </w:tc>
      </w:tr>
      <w:tr w:rsidR="00835EB1" w:rsidRPr="001E2B9E" w:rsidTr="00F601A7">
        <w:trPr>
          <w:trHeight w:val="585"/>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Permanent care</w:t>
            </w:r>
            <w:r>
              <w:rPr>
                <w:rStyle w:val="FootnoteReference"/>
                <w:rFonts w:cs="Arial"/>
                <w:color w:val="000000"/>
                <w:szCs w:val="22"/>
                <w:lang w:eastAsia="en-AU"/>
              </w:rPr>
              <w:footnoteReference w:id="22"/>
            </w:r>
          </w:p>
        </w:tc>
        <w:tc>
          <w:tcPr>
            <w:tcW w:w="17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17%</w:t>
            </w:r>
          </w:p>
        </w:tc>
        <w:tc>
          <w:tcPr>
            <w:tcW w:w="188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rPr>
                <w:rFonts w:cs="Arial"/>
                <w:color w:val="000000"/>
                <w:szCs w:val="22"/>
                <w:lang w:eastAsia="en-AU"/>
              </w:rPr>
            </w:pPr>
            <w:r w:rsidRPr="000755AA">
              <w:t>-</w:t>
            </w:r>
          </w:p>
        </w:tc>
        <w:tc>
          <w:tcPr>
            <w:tcW w:w="170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17%</w:t>
            </w:r>
          </w:p>
        </w:tc>
        <w:tc>
          <w:tcPr>
            <w:tcW w:w="20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rPr>
                <w:rFonts w:cs="Arial"/>
                <w:color w:val="000000"/>
                <w:szCs w:val="22"/>
                <w:lang w:eastAsia="en-AU"/>
              </w:rPr>
            </w:pPr>
            <w:r w:rsidRPr="000755AA">
              <w:t>-</w:t>
            </w:r>
          </w:p>
        </w:tc>
      </w:tr>
      <w:tr w:rsidR="00835EB1" w:rsidRPr="001E2B9E" w:rsidTr="00F601A7">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lastRenderedPageBreak/>
              <w:t>Residential</w:t>
            </w:r>
          </w:p>
        </w:tc>
        <w:tc>
          <w:tcPr>
            <w:tcW w:w="17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5%</w:t>
            </w:r>
          </w:p>
        </w:tc>
        <w:tc>
          <w:tcPr>
            <w:tcW w:w="188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62%</w:t>
            </w:r>
          </w:p>
        </w:tc>
        <w:tc>
          <w:tcPr>
            <w:tcW w:w="170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5%</w:t>
            </w:r>
          </w:p>
        </w:tc>
        <w:tc>
          <w:tcPr>
            <w:tcW w:w="20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70%</w:t>
            </w:r>
          </w:p>
        </w:tc>
      </w:tr>
      <w:tr w:rsidR="00835EB1" w:rsidRPr="001E2B9E" w:rsidTr="00F601A7">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rsidR="00835EB1" w:rsidRPr="001E2B9E" w:rsidRDefault="00835EB1" w:rsidP="00F601A7">
            <w:pPr>
              <w:spacing w:before="0"/>
              <w:rPr>
                <w:rFonts w:cs="Arial"/>
                <w:color w:val="000000"/>
                <w:szCs w:val="22"/>
                <w:lang w:eastAsia="en-AU"/>
              </w:rPr>
            </w:pPr>
            <w:r w:rsidRPr="001E2B9E">
              <w:rPr>
                <w:rFonts w:cs="Arial"/>
                <w:color w:val="000000"/>
                <w:szCs w:val="22"/>
                <w:lang w:eastAsia="en-AU"/>
              </w:rPr>
              <w:t>Other</w:t>
            </w:r>
          </w:p>
        </w:tc>
        <w:tc>
          <w:tcPr>
            <w:tcW w:w="17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1%</w:t>
            </w:r>
          </w:p>
        </w:tc>
        <w:tc>
          <w:tcPr>
            <w:tcW w:w="188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5%</w:t>
            </w:r>
          </w:p>
        </w:tc>
        <w:tc>
          <w:tcPr>
            <w:tcW w:w="170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&lt;1%</w:t>
            </w:r>
          </w:p>
        </w:tc>
        <w:tc>
          <w:tcPr>
            <w:tcW w:w="2020" w:type="dxa"/>
            <w:tcBorders>
              <w:top w:val="nil"/>
              <w:left w:val="nil"/>
              <w:bottom w:val="single" w:sz="8" w:space="0" w:color="auto"/>
              <w:right w:val="single" w:sz="8" w:space="0" w:color="auto"/>
            </w:tcBorders>
            <w:shd w:val="clear" w:color="auto" w:fill="auto"/>
            <w:hideMark/>
          </w:tcPr>
          <w:p w:rsidR="00835EB1" w:rsidRPr="001E2B9E" w:rsidRDefault="00835EB1" w:rsidP="00F601A7">
            <w:pPr>
              <w:spacing w:before="0"/>
              <w:jc w:val="right"/>
              <w:rPr>
                <w:rFonts w:cs="Arial"/>
                <w:color w:val="000000"/>
                <w:sz w:val="18"/>
                <w:szCs w:val="18"/>
                <w:lang w:eastAsia="en-AU"/>
              </w:rPr>
            </w:pPr>
            <w:r w:rsidRPr="000755AA">
              <w:t>1%</w:t>
            </w:r>
          </w:p>
        </w:tc>
      </w:tr>
    </w:tbl>
    <w:p w:rsidR="007A01BD" w:rsidRPr="00F324F0" w:rsidRDefault="00F82531" w:rsidP="00F324F0">
      <w:pPr>
        <w:pStyle w:val="Heading3"/>
      </w:pPr>
      <w:r w:rsidRPr="00F324F0">
        <w:t>Incident reports from youth justice custody in 2016–17</w:t>
      </w:r>
    </w:p>
    <w:p w:rsidR="007A01BD" w:rsidRPr="00F324F0" w:rsidRDefault="00F82531" w:rsidP="00F324F0">
      <w:r w:rsidRPr="00F324F0">
        <w:t>During the 2016–17 financial year, we received 115 Category One youth justice reports (Table 10).</w:t>
      </w:r>
      <w:r w:rsidR="00EA3248">
        <w:rPr>
          <w:rStyle w:val="FootnoteReference"/>
        </w:rPr>
        <w:footnoteReference w:id="23"/>
      </w:r>
      <w:r w:rsidRPr="00F324F0">
        <w:t xml:space="preserve"> Seventy-three were assault related, of which 33 related to allegations of assault against children and young people by youth justice</w:t>
      </w:r>
      <w:r w:rsidR="00EA3248">
        <w:t xml:space="preserve"> </w:t>
      </w:r>
      <w:r w:rsidRPr="00F324F0">
        <w:t>staff. We are concerned about the number of allegations of assault by staff and</w:t>
      </w:r>
      <w:r w:rsidR="00F324F0">
        <w:t xml:space="preserve"> </w:t>
      </w:r>
      <w:r w:rsidRPr="00F324F0">
        <w:t>will continue to monitor this.</w:t>
      </w:r>
    </w:p>
    <w:p w:rsidR="007A01BD" w:rsidRPr="003F6306" w:rsidRDefault="00F82531" w:rsidP="00F324F0">
      <w:r w:rsidRPr="00F324F0">
        <w:t>A further 13 reports (18 per cent) related</w:t>
      </w:r>
      <w:r w:rsidR="00F324F0">
        <w:t xml:space="preserve"> </w:t>
      </w:r>
      <w:r w:rsidRPr="00F324F0">
        <w:t>to alleged sexual assault between children and</w:t>
      </w:r>
      <w:r w:rsidR="00F324F0">
        <w:t xml:space="preserve"> </w:t>
      </w:r>
      <w:r w:rsidRPr="003F6306">
        <w:t>young people and 10 involved alleged physical assaults between children and young people (14 per cent).</w:t>
      </w:r>
    </w:p>
    <w:p w:rsidR="00EA3248" w:rsidRDefault="00F82531" w:rsidP="00EA3248">
      <w:r w:rsidRPr="003F6306">
        <w:t>This year we followed up 37 incidents from Youth Justice. More than half (53 per cent) of our queries involved requesting CCTV footage or copies of internal reviews. We also asked questions about children and young people’s access to lawyers, therapeutic support, or offence-specific programs.</w:t>
      </w:r>
      <w:bookmarkStart w:id="54" w:name="_TOC_250014"/>
      <w:bookmarkEnd w:id="54"/>
    </w:p>
    <w:p w:rsidR="00826DAE" w:rsidRDefault="00826DAE" w:rsidP="00826DAE">
      <w:pPr>
        <w:pStyle w:val="Caption"/>
      </w:pPr>
      <w:bookmarkStart w:id="55" w:name="_Toc496019888"/>
      <w:r>
        <w:t xml:space="preserve">Table </w:t>
      </w:r>
      <w:r>
        <w:fldChar w:fldCharType="begin"/>
      </w:r>
      <w:r>
        <w:instrText xml:space="preserve"> SEQ Table \* ARABIC </w:instrText>
      </w:r>
      <w:r>
        <w:fldChar w:fldCharType="separate"/>
      </w:r>
      <w:r w:rsidR="00DF01C3">
        <w:rPr>
          <w:noProof/>
        </w:rPr>
        <w:t>10</w:t>
      </w:r>
      <w:r>
        <w:fldChar w:fldCharType="end"/>
      </w:r>
      <w:r>
        <w:t xml:space="preserve"> Number of youth justice category one incidents reported to the Commission in 2016-17</w:t>
      </w:r>
      <w:bookmarkEnd w:id="55"/>
    </w:p>
    <w:tbl>
      <w:tblPr>
        <w:tblStyle w:val="LightList-Accent1"/>
        <w:tblW w:w="8946" w:type="dxa"/>
        <w:tblLook w:val="04A0" w:firstRow="1" w:lastRow="0" w:firstColumn="1" w:lastColumn="0" w:noHBand="0" w:noVBand="1"/>
      </w:tblPr>
      <w:tblGrid>
        <w:gridCol w:w="4520"/>
        <w:gridCol w:w="4426"/>
      </w:tblGrid>
      <w:tr w:rsidR="00826DAE" w:rsidRPr="00BD5C71" w:rsidTr="00826DA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F601A7">
            <w:pPr>
              <w:rPr>
                <w:rFonts w:ascii="Open Sans" w:hAnsi="Open Sans" w:cs="Open Sans"/>
                <w:b w:val="0"/>
                <w:bCs w:val="0"/>
                <w:color w:val="000000"/>
                <w:lang w:eastAsia="en-AU"/>
              </w:rPr>
            </w:pPr>
            <w:r w:rsidRPr="00BD5C71">
              <w:rPr>
                <w:rFonts w:ascii="Open Sans" w:hAnsi="Open Sans" w:cs="Open Sans"/>
                <w:b w:val="0"/>
                <w:bCs w:val="0"/>
                <w:color w:val="000000"/>
                <w:lang w:eastAsia="en-AU"/>
              </w:rPr>
              <w:t>Incident category</w:t>
            </w:r>
          </w:p>
        </w:tc>
        <w:tc>
          <w:tcPr>
            <w:tcW w:w="4426" w:type="dxa"/>
            <w:noWrap/>
            <w:hideMark/>
          </w:tcPr>
          <w:p w:rsidR="00826DAE" w:rsidRPr="00BD5C71" w:rsidRDefault="00826DAE" w:rsidP="00F601A7">
            <w:pPr>
              <w:jc w:val="right"/>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color w:val="000000"/>
                <w:lang w:eastAsia="en-AU"/>
              </w:rPr>
            </w:pPr>
            <w:r w:rsidRPr="00BD5C71">
              <w:rPr>
                <w:rFonts w:ascii="Open Sans" w:hAnsi="Open Sans" w:cs="Open Sans"/>
                <w:b w:val="0"/>
                <w:bCs w:val="0"/>
                <w:color w:val="000000"/>
                <w:lang w:eastAsia="en-AU"/>
              </w:rPr>
              <w:t>Total</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100" w:firstLine="220"/>
              <w:rPr>
                <w:rFonts w:ascii="Open Sans" w:hAnsi="Open Sans" w:cs="Open Sans"/>
                <w:b w:val="0"/>
                <w:bCs w:val="0"/>
                <w:color w:val="000000"/>
                <w:lang w:eastAsia="en-AU"/>
              </w:rPr>
            </w:pPr>
            <w:r w:rsidRPr="00BD5C71">
              <w:rPr>
                <w:rFonts w:ascii="Open Sans" w:hAnsi="Open Sans" w:cs="Open Sans"/>
                <w:b w:val="0"/>
                <w:bCs w:val="0"/>
                <w:color w:val="000000"/>
                <w:lang w:eastAsia="en-AU"/>
              </w:rPr>
              <w:t>Assault</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lang w:eastAsia="en-AU"/>
              </w:rPr>
            </w:pPr>
            <w:r w:rsidRPr="00BD5C71">
              <w:rPr>
                <w:rFonts w:ascii="Open Sans" w:hAnsi="Open Sans" w:cs="Open Sans"/>
                <w:b/>
                <w:bCs/>
                <w:color w:val="000000"/>
                <w:lang w:eastAsia="en-AU"/>
              </w:rPr>
              <w:t>73</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 xml:space="preserve">Physical assault – client </w:t>
            </w:r>
            <w:r>
              <w:rPr>
                <w:rFonts w:ascii="Open Sans" w:hAnsi="Open Sans" w:cs="Open Sans"/>
                <w:lang w:eastAsia="en-AU"/>
              </w:rPr>
              <w:t>to</w:t>
            </w:r>
            <w:r w:rsidRPr="00BD5C71">
              <w:rPr>
                <w:rFonts w:ascii="Open Sans" w:hAnsi="Open Sans" w:cs="Open Sans"/>
                <w:lang w:eastAsia="en-AU"/>
              </w:rPr>
              <w:t xml:space="preserve"> client</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10</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 xml:space="preserve">Physical assault – client </w:t>
            </w:r>
            <w:r>
              <w:rPr>
                <w:rFonts w:ascii="Open Sans" w:hAnsi="Open Sans" w:cs="Open Sans"/>
                <w:lang w:eastAsia="en-AU"/>
              </w:rPr>
              <w:t>to</w:t>
            </w:r>
            <w:r w:rsidRPr="00BD5C71">
              <w:rPr>
                <w:rFonts w:ascii="Open Sans" w:hAnsi="Open Sans" w:cs="Open Sans"/>
                <w:lang w:eastAsia="en-AU"/>
              </w:rPr>
              <w:t xml:space="preserve"> staff</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7</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 xml:space="preserve">Physical assault – other </w:t>
            </w:r>
            <w:r>
              <w:rPr>
                <w:rFonts w:ascii="Open Sans" w:hAnsi="Open Sans" w:cs="Open Sans"/>
                <w:lang w:eastAsia="en-AU"/>
              </w:rPr>
              <w:t>to</w:t>
            </w:r>
            <w:r w:rsidRPr="00BD5C71">
              <w:rPr>
                <w:rFonts w:ascii="Open Sans" w:hAnsi="Open Sans" w:cs="Open Sans"/>
                <w:lang w:eastAsia="en-AU"/>
              </w:rPr>
              <w:t xml:space="preserve"> client</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3</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 xml:space="preserve">Physical assault – staff </w:t>
            </w:r>
            <w:r>
              <w:rPr>
                <w:rFonts w:ascii="Open Sans" w:hAnsi="Open Sans" w:cs="Open Sans"/>
                <w:lang w:eastAsia="en-AU"/>
              </w:rPr>
              <w:t>to</w:t>
            </w:r>
            <w:r w:rsidRPr="00BD5C71">
              <w:rPr>
                <w:rFonts w:ascii="Open Sans" w:hAnsi="Open Sans" w:cs="Open Sans"/>
                <w:lang w:eastAsia="en-AU"/>
              </w:rPr>
              <w:t xml:space="preserve"> client</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34</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 xml:space="preserve">Sexual assault – indecent – client </w:t>
            </w:r>
            <w:r>
              <w:rPr>
                <w:rFonts w:ascii="Open Sans" w:hAnsi="Open Sans" w:cs="Open Sans"/>
                <w:lang w:eastAsia="en-AU"/>
              </w:rPr>
              <w:t>to</w:t>
            </w:r>
            <w:r w:rsidRPr="00BD5C71">
              <w:rPr>
                <w:rFonts w:ascii="Open Sans" w:hAnsi="Open Sans" w:cs="Open Sans"/>
                <w:lang w:eastAsia="en-AU"/>
              </w:rPr>
              <w:t xml:space="preserve"> client</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13</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 xml:space="preserve">Sexual assault – indecent – client </w:t>
            </w:r>
            <w:r>
              <w:rPr>
                <w:rFonts w:ascii="Open Sans" w:hAnsi="Open Sans" w:cs="Open Sans"/>
                <w:lang w:eastAsia="en-AU"/>
              </w:rPr>
              <w:t>to</w:t>
            </w:r>
            <w:r w:rsidRPr="00BD5C71">
              <w:rPr>
                <w:rFonts w:ascii="Open Sans" w:hAnsi="Open Sans" w:cs="Open Sans"/>
                <w:lang w:eastAsia="en-AU"/>
              </w:rPr>
              <w:t xml:space="preserve"> staff</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 xml:space="preserve">Sexual assault – indecent – other </w:t>
            </w:r>
            <w:r>
              <w:rPr>
                <w:rFonts w:ascii="Open Sans" w:hAnsi="Open Sans" w:cs="Open Sans"/>
                <w:lang w:eastAsia="en-AU"/>
              </w:rPr>
              <w:t>to</w:t>
            </w:r>
            <w:r w:rsidRPr="00BD5C71">
              <w:rPr>
                <w:rFonts w:ascii="Open Sans" w:hAnsi="Open Sans" w:cs="Open Sans"/>
                <w:lang w:eastAsia="en-AU"/>
              </w:rPr>
              <w:t xml:space="preserve"> client</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5</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100" w:firstLine="220"/>
              <w:rPr>
                <w:rFonts w:ascii="Open Sans" w:hAnsi="Open Sans" w:cs="Open Sans"/>
                <w:b w:val="0"/>
                <w:bCs w:val="0"/>
                <w:color w:val="000000"/>
                <w:lang w:eastAsia="en-AU"/>
              </w:rPr>
            </w:pPr>
            <w:r w:rsidRPr="00BD5C71">
              <w:rPr>
                <w:rFonts w:ascii="Open Sans" w:hAnsi="Open Sans" w:cs="Open Sans"/>
                <w:b w:val="0"/>
                <w:bCs w:val="0"/>
                <w:color w:val="000000"/>
                <w:lang w:eastAsia="en-AU"/>
              </w:rPr>
              <w:t>Behaviour</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lang w:eastAsia="en-AU"/>
              </w:rPr>
            </w:pPr>
            <w:r w:rsidRPr="00BD5C71">
              <w:rPr>
                <w:rFonts w:ascii="Open Sans" w:hAnsi="Open Sans" w:cs="Open Sans"/>
                <w:b/>
                <w:bCs/>
                <w:color w:val="000000"/>
                <w:lang w:eastAsia="en-AU"/>
              </w:rPr>
              <w:t>20</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Behaviour – dangerous</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7</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Behaviour – disruptive</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Behaviour – sexual</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12</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100" w:firstLine="220"/>
              <w:rPr>
                <w:rFonts w:ascii="Open Sans" w:hAnsi="Open Sans" w:cs="Open Sans"/>
                <w:b w:val="0"/>
                <w:bCs w:val="0"/>
                <w:color w:val="000000"/>
                <w:lang w:eastAsia="en-AU"/>
              </w:rPr>
            </w:pPr>
            <w:r w:rsidRPr="00BD5C71">
              <w:rPr>
                <w:rFonts w:ascii="Open Sans" w:hAnsi="Open Sans" w:cs="Open Sans"/>
                <w:b w:val="0"/>
                <w:bCs w:val="0"/>
                <w:color w:val="000000"/>
                <w:lang w:eastAsia="en-AU"/>
              </w:rPr>
              <w:t>Other incident types</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lang w:eastAsia="en-AU"/>
              </w:rPr>
            </w:pPr>
            <w:r w:rsidRPr="00BD5C71">
              <w:rPr>
                <w:rFonts w:ascii="Open Sans" w:hAnsi="Open Sans" w:cs="Open Sans"/>
                <w:b/>
                <w:bCs/>
                <w:color w:val="000000"/>
                <w:lang w:eastAsia="en-AU"/>
              </w:rPr>
              <w:t>23</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Breach of privacy/confidentiality matters</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lastRenderedPageBreak/>
              <w:t>Escape from centre</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3</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Illness</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2</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Injury</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4</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Medical condition (known) – deterioration</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Medication error – other</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2</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Poor quality of care</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Possession</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Property damage/disruption</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6</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Self-harm</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w:t>
            </w:r>
          </w:p>
        </w:tc>
      </w:tr>
      <w:tr w:rsidR="00826DAE" w:rsidRPr="00BD5C71" w:rsidTr="00826DAE">
        <w:trPr>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826DAE">
            <w:pPr>
              <w:ind w:firstLineChars="200" w:firstLine="442"/>
              <w:rPr>
                <w:rFonts w:ascii="Open Sans" w:hAnsi="Open Sans" w:cs="Open Sans"/>
                <w:lang w:eastAsia="en-AU"/>
              </w:rPr>
            </w:pPr>
            <w:r w:rsidRPr="00BD5C71">
              <w:rPr>
                <w:rFonts w:ascii="Open Sans" w:hAnsi="Open Sans" w:cs="Open Sans"/>
                <w:lang w:eastAsia="en-AU"/>
              </w:rPr>
              <w:t>Suicide attempted</w:t>
            </w:r>
          </w:p>
        </w:tc>
        <w:tc>
          <w:tcPr>
            <w:tcW w:w="4426" w:type="dxa"/>
            <w:noWrap/>
            <w:hideMark/>
          </w:tcPr>
          <w:p w:rsidR="00826DAE" w:rsidRPr="00BD5C71" w:rsidRDefault="00826DAE" w:rsidP="00F601A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lang w:eastAsia="en-AU"/>
              </w:rPr>
            </w:pPr>
            <w:r w:rsidRPr="00BD5C71">
              <w:rPr>
                <w:rFonts w:ascii="Open Sans" w:hAnsi="Open Sans" w:cs="Open Sans"/>
                <w:lang w:eastAsia="en-AU"/>
              </w:rPr>
              <w:t>1</w:t>
            </w:r>
          </w:p>
        </w:tc>
      </w:tr>
      <w:tr w:rsidR="00826DAE" w:rsidRPr="00BD5C71" w:rsidTr="00826D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20" w:type="dxa"/>
            <w:noWrap/>
            <w:hideMark/>
          </w:tcPr>
          <w:p w:rsidR="00826DAE" w:rsidRPr="00BD5C71" w:rsidRDefault="00826DAE" w:rsidP="00F601A7">
            <w:pPr>
              <w:rPr>
                <w:rFonts w:ascii="Open Sans" w:hAnsi="Open Sans" w:cs="Open Sans"/>
                <w:b w:val="0"/>
                <w:bCs w:val="0"/>
                <w:lang w:eastAsia="en-AU"/>
              </w:rPr>
            </w:pPr>
            <w:r w:rsidRPr="00BD5C71">
              <w:rPr>
                <w:rFonts w:ascii="Open Sans" w:hAnsi="Open Sans" w:cs="Open Sans"/>
                <w:b w:val="0"/>
                <w:bCs w:val="0"/>
                <w:lang w:eastAsia="en-AU"/>
              </w:rPr>
              <w:t>Total</w:t>
            </w:r>
          </w:p>
        </w:tc>
        <w:tc>
          <w:tcPr>
            <w:tcW w:w="4426" w:type="dxa"/>
            <w:noWrap/>
            <w:hideMark/>
          </w:tcPr>
          <w:p w:rsidR="00826DAE" w:rsidRPr="00BD5C71" w:rsidRDefault="00826DAE" w:rsidP="00F601A7">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b/>
                <w:bCs/>
                <w:lang w:eastAsia="en-AU"/>
              </w:rPr>
            </w:pPr>
            <w:r w:rsidRPr="00BD5C71">
              <w:rPr>
                <w:rFonts w:ascii="Open Sans" w:hAnsi="Open Sans" w:cs="Open Sans"/>
                <w:b/>
                <w:bCs/>
                <w:lang w:eastAsia="en-AU"/>
              </w:rPr>
              <w:t>116</w:t>
            </w:r>
          </w:p>
        </w:tc>
      </w:tr>
    </w:tbl>
    <w:p w:rsidR="00826DAE" w:rsidRDefault="00826DAE" w:rsidP="00EA3248"/>
    <w:p w:rsidR="007A01BD" w:rsidRPr="003F6306" w:rsidRDefault="00F82531" w:rsidP="00EA3248">
      <w:pPr>
        <w:pStyle w:val="Heading2"/>
      </w:pPr>
      <w:bookmarkStart w:id="56" w:name="_Toc496019829"/>
      <w:r w:rsidRPr="00F324F0">
        <w:t>Approaches</w:t>
      </w:r>
      <w:r w:rsidRPr="003F6306">
        <w:t xml:space="preserve"> from the public</w:t>
      </w:r>
      <w:bookmarkEnd w:id="56"/>
    </w:p>
    <w:p w:rsidR="007A01BD" w:rsidRPr="003F6306" w:rsidRDefault="00F82531" w:rsidP="00F324F0">
      <w:r w:rsidRPr="003F6306">
        <w:t>We are not a formal complaints body, and do not have legislated complaint-handling functions.</w:t>
      </w:r>
    </w:p>
    <w:p w:rsidR="007A01BD" w:rsidRPr="003F6306" w:rsidRDefault="00F82531" w:rsidP="00F324F0">
      <w:r w:rsidRPr="003F6306">
        <w:t>However, we often receive calls or emails from members of the community raising concerns about the welfare and safety of children and young people, or the actions of a government department or other agencies.</w:t>
      </w:r>
    </w:p>
    <w:p w:rsidR="007A01BD" w:rsidRPr="003F6306" w:rsidRDefault="00F82531" w:rsidP="00F324F0">
      <w:pPr>
        <w:rPr>
          <w:sz w:val="12"/>
        </w:rPr>
      </w:pPr>
      <w:r w:rsidRPr="003F6306">
        <w:t>Depending on the nature of the call, we can provide the caller with alternate avenues to raise their concerns, or we can raise the issue with the relevant department or agency on the caller’s behalf.</w:t>
      </w:r>
      <w:r w:rsidR="00EA3248">
        <w:rPr>
          <w:rStyle w:val="FootnoteReference"/>
        </w:rPr>
        <w:footnoteReference w:id="24"/>
      </w:r>
    </w:p>
    <w:p w:rsidR="007A01BD" w:rsidRPr="003F6306" w:rsidRDefault="00F82531" w:rsidP="00F324F0">
      <w:r w:rsidRPr="003F6306">
        <w:t>This financial year, we received 626 contacts from  parents,  carers,  professionals,  children and young people who approached us for information, advice or support. This number is slightly lower than last year, when we received 652 formal contacts. A sample review of the approaches we received showed that almost 25 per cent of people contacted us with concerns about the case management of children in out- of-home care. We referred the majority of callers to an appropriate area that could address the complaint, such as DHHS.</w:t>
      </w:r>
    </w:p>
    <w:p w:rsidR="00F324F0" w:rsidRDefault="00F324F0">
      <w:pPr>
        <w:spacing w:before="0"/>
        <w:rPr>
          <w:rFonts w:eastAsiaTheme="majorEastAsia"/>
          <w:b/>
          <w:sz w:val="28"/>
          <w:szCs w:val="32"/>
        </w:rPr>
      </w:pPr>
      <w:bookmarkStart w:id="57" w:name="_TOC_250013"/>
      <w:bookmarkEnd w:id="57"/>
      <w:r>
        <w:br w:type="page"/>
      </w:r>
    </w:p>
    <w:p w:rsidR="007A01BD" w:rsidRPr="003F6306" w:rsidRDefault="00F82531">
      <w:pPr>
        <w:pStyle w:val="Heading1"/>
        <w:spacing w:before="66" w:line="237" w:lineRule="auto"/>
        <w:ind w:right="1183"/>
        <w:rPr>
          <w:color w:val="auto"/>
        </w:rPr>
      </w:pPr>
      <w:bookmarkStart w:id="58" w:name="_Toc496019830"/>
      <w:r w:rsidRPr="003F6306">
        <w:rPr>
          <w:color w:val="auto"/>
        </w:rPr>
        <w:lastRenderedPageBreak/>
        <w:t>Influencing policy, programs and services</w:t>
      </w:r>
      <w:bookmarkEnd w:id="58"/>
    </w:p>
    <w:p w:rsidR="007A01BD" w:rsidRPr="003F6306" w:rsidRDefault="00F82531" w:rsidP="00F324F0">
      <w:pPr>
        <w:pStyle w:val="Heading2"/>
      </w:pPr>
      <w:bookmarkStart w:id="59" w:name="_TOC_250012"/>
      <w:bookmarkStart w:id="60" w:name="_Toc496019831"/>
      <w:bookmarkEnd w:id="59"/>
      <w:r w:rsidRPr="003F6306">
        <w:t>Overview</w:t>
      </w:r>
      <w:bookmarkEnd w:id="60"/>
    </w:p>
    <w:p w:rsidR="007A01BD" w:rsidRPr="003F6306" w:rsidRDefault="00F82531" w:rsidP="00F324F0">
      <w:r w:rsidRPr="003F6306">
        <w:t>An important part of our role is to advocate to improve policies, programs and services for children and young people.</w:t>
      </w:r>
    </w:p>
    <w:p w:rsidR="007A01BD" w:rsidRPr="003F6306" w:rsidRDefault="00F82531" w:rsidP="00F324F0">
      <w:r w:rsidRPr="003F6306">
        <w:t>Our advice and advocacy is based on input from children and young people combined with the specialist knowledge we gain through our oversight activities. This gives us unique access to information about the experiences of children and young people, particularly those in the  child protection, out-of-home care and youth justice systems, to inform decision makers and drive</w:t>
      </w:r>
      <w:r w:rsidRPr="003F6306">
        <w:rPr>
          <w:spacing w:val="2"/>
        </w:rPr>
        <w:t xml:space="preserve"> </w:t>
      </w:r>
      <w:r w:rsidRPr="003F6306">
        <w:t>change.</w:t>
      </w:r>
    </w:p>
    <w:p w:rsidR="007A01BD" w:rsidRPr="003F6306" w:rsidRDefault="00F82531" w:rsidP="00F324F0">
      <w:r w:rsidRPr="003F6306">
        <w:t>Our advocacy takes various forms. We provide advice directly to government as well as making public submissions on specific policies or laws. The Commissioners and Commission staff participate in ministerial and other government advisory and oversight groups across a range of policy areas central to children’s lives.</w:t>
      </w:r>
    </w:p>
    <w:p w:rsidR="007A01BD" w:rsidRPr="003F6306" w:rsidRDefault="00F82531" w:rsidP="00F324F0">
      <w:r w:rsidRPr="003F6306">
        <w:t>We also raise awareness of issues affecting children and young people through the media and by talking directly to the community</w:t>
      </w:r>
    </w:p>
    <w:p w:rsidR="007A01BD" w:rsidRPr="003F6306" w:rsidRDefault="00F82531" w:rsidP="00F324F0">
      <w:r w:rsidRPr="003F6306">
        <w:t>and stakeholders at forums, conferences and other events. This year the Principal Commissioner gave more than 40 speeches</w:t>
      </w:r>
    </w:p>
    <w:p w:rsidR="00F324F0" w:rsidRDefault="00F82531" w:rsidP="00F324F0">
      <w:r w:rsidRPr="003F6306">
        <w:t>and the Commissioner for Aboriginal Children and Young People shared his knowledge at 20 events. In addition to authoring comment pieces and giving interviews, the Commissioners’ advocacy for children featured in more than 200 mentions in the media this year.</w:t>
      </w:r>
    </w:p>
    <w:p w:rsidR="007A01BD" w:rsidRPr="003F6306" w:rsidRDefault="00F82531" w:rsidP="00F324F0">
      <w:r w:rsidRPr="003F6306">
        <w:t>While our policy and systemic advocacy for children and young people covered a range of topics in 2016–17, much centred on two key areas:</w:t>
      </w:r>
    </w:p>
    <w:p w:rsidR="007A01BD" w:rsidRPr="003F6306" w:rsidRDefault="00F82531" w:rsidP="00F324F0">
      <w:pPr>
        <w:pStyle w:val="Bullets"/>
      </w:pPr>
      <w:r w:rsidRPr="003F6306">
        <w:t>promoting the rights of children and young people in Victoria’s youth justice system and ensuring that it retains and strengthens its focus on</w:t>
      </w:r>
      <w:r w:rsidRPr="003F6306">
        <w:rPr>
          <w:spacing w:val="11"/>
        </w:rPr>
        <w:t xml:space="preserve"> </w:t>
      </w:r>
      <w:r w:rsidRPr="003F6306">
        <w:t>rehabilitation</w:t>
      </w:r>
    </w:p>
    <w:p w:rsidR="007A01BD" w:rsidRPr="003F6306" w:rsidRDefault="00F82531" w:rsidP="00F324F0">
      <w:pPr>
        <w:pStyle w:val="Bullets"/>
      </w:pPr>
      <w:r w:rsidRPr="003F6306">
        <w:t>ensuring that reforms to address family violence in Victoria deliver genuine change for children and young people affected by family</w:t>
      </w:r>
      <w:r w:rsidRPr="003F6306">
        <w:rPr>
          <w:spacing w:val="7"/>
        </w:rPr>
        <w:t xml:space="preserve"> </w:t>
      </w:r>
      <w:r w:rsidRPr="003F6306">
        <w:t>violence.</w:t>
      </w:r>
    </w:p>
    <w:p w:rsidR="007A01BD" w:rsidRPr="003F6306" w:rsidRDefault="00F82531" w:rsidP="00803831">
      <w:pPr>
        <w:pStyle w:val="Heading2"/>
      </w:pPr>
      <w:bookmarkStart w:id="61" w:name="_TOC_250011"/>
      <w:bookmarkStart w:id="62" w:name="_Toc496019832"/>
      <w:bookmarkEnd w:id="61"/>
      <w:r w:rsidRPr="003F6306">
        <w:t>Youth justice</w:t>
      </w:r>
      <w:bookmarkEnd w:id="62"/>
    </w:p>
    <w:p w:rsidR="007A01BD" w:rsidRPr="003F6306" w:rsidRDefault="00F82531" w:rsidP="00F324F0">
      <w:r w:rsidRPr="003F6306">
        <w:t>Youth  justice  became  a  significant  focus  of our advocacy efforts this year. Community and</w:t>
      </w:r>
      <w:r w:rsidR="00F324F0">
        <w:t xml:space="preserve"> </w:t>
      </w:r>
      <w:r w:rsidRPr="003F6306">
        <w:t>media concern about trends in youth offending and disturbances in youth justice centres increased. Commentators called for more punitive responses and to erode a specialist approach for children who offend.</w:t>
      </w:r>
    </w:p>
    <w:p w:rsidR="007A01BD" w:rsidRPr="003F6306" w:rsidRDefault="00F82531" w:rsidP="00F324F0">
      <w:r w:rsidRPr="003F6306">
        <w:t>Through the media and a range of speaking engagements, the Commissioners argued for all commentators to have regard to the evidence, which shows that a very small number of children and young people offend and the overall number of young offenders is falling. They also called for evidence-based, age-appropriate responses to children and young people who offend, and more opportunities to divert children and young people from the criminal justice system. They urged against counterproductive but politically popular</w:t>
      </w:r>
      <w:r w:rsidRPr="003F6306">
        <w:rPr>
          <w:spacing w:val="26"/>
        </w:rPr>
        <w:t xml:space="preserve"> </w:t>
      </w:r>
      <w:r w:rsidRPr="003F6306">
        <w:t>responses.</w:t>
      </w:r>
    </w:p>
    <w:p w:rsidR="007A01BD" w:rsidRPr="003F6306" w:rsidRDefault="00F82531" w:rsidP="00F324F0">
      <w:pPr>
        <w:rPr>
          <w:sz w:val="23"/>
        </w:rPr>
      </w:pPr>
      <w:r w:rsidRPr="003F6306">
        <w:t xml:space="preserve">Drawing on our monitoring activity and the findings of our systemic inquiry report, </w:t>
      </w:r>
      <w:r w:rsidRPr="003F6306">
        <w:rPr>
          <w:i/>
        </w:rPr>
        <w:t>The  same four walls</w:t>
      </w:r>
      <w:r w:rsidRPr="003F6306">
        <w:t>, the Commissioners also advocated for a broader understanding of recent disturbances in youth justice centres. They pointed to serious concerns about excessive  use of isolation, separation and lockdowns, and deficiencies in infrastructure, staffing levels, staff training and incident response</w:t>
      </w:r>
      <w:r w:rsidRPr="003F6306">
        <w:rPr>
          <w:spacing w:val="16"/>
        </w:rPr>
        <w:t xml:space="preserve"> </w:t>
      </w:r>
      <w:r w:rsidRPr="003F6306">
        <w:t>capacity.</w:t>
      </w:r>
    </w:p>
    <w:p w:rsidR="007A01BD" w:rsidRPr="003F6306" w:rsidRDefault="00F82531" w:rsidP="00F324F0">
      <w:pPr>
        <w:pStyle w:val="Heading3"/>
      </w:pPr>
      <w:r w:rsidRPr="003F6306">
        <w:lastRenderedPageBreak/>
        <w:t>Parliamentary inquiry into youth justice centres</w:t>
      </w:r>
    </w:p>
    <w:p w:rsidR="007A01BD" w:rsidRPr="003F6306" w:rsidRDefault="00F82531" w:rsidP="00F324F0">
      <w:r w:rsidRPr="003F6306">
        <w:t>Both Commissioners gave evidence to Victoria’s Parliamentary Inquiry into Youth Justice Centres in Victoria.</w:t>
      </w:r>
    </w:p>
    <w:p w:rsidR="007A01BD" w:rsidRPr="003F6306" w:rsidRDefault="00F82531" w:rsidP="00F324F0">
      <w:r w:rsidRPr="003F6306">
        <w:t>The Principal Commissioner gave evidence about our oversight and monitoring of youth justice centres, highlighting concerns about the treatment of children and young people resulting from long-term staff shortages, poor training, and the lack of a clear and consistent approach to working with children and young people in custody.</w:t>
      </w:r>
    </w:p>
    <w:p w:rsidR="007A01BD" w:rsidRPr="003F6306" w:rsidRDefault="00F82531" w:rsidP="00F324F0">
      <w:pPr>
        <w:rPr>
          <w:sz w:val="23"/>
        </w:rPr>
      </w:pPr>
      <w:r w:rsidRPr="003F6306">
        <w:t>The Commissioner for Aboriginal Children and Young People gave evidence that focused on the importance of early intervention, prevention and diversion for</w:t>
      </w:r>
      <w:r w:rsidR="00F324F0">
        <w:t xml:space="preserve"> </w:t>
      </w:r>
      <w:r w:rsidRPr="003F6306">
        <w:t>Aboriginal children and young people at risk of becoming involved in the criminal justice system, and the value of community-based and community-led interventions.</w:t>
      </w:r>
    </w:p>
    <w:p w:rsidR="007A01BD" w:rsidRPr="003F6306" w:rsidRDefault="00F82531" w:rsidP="00F324F0">
      <w:pPr>
        <w:pStyle w:val="Heading3"/>
      </w:pPr>
      <w:r w:rsidRPr="003F6306">
        <w:t xml:space="preserve">Submissions on </w:t>
      </w:r>
      <w:r w:rsidRPr="00F324F0">
        <w:t>youth</w:t>
      </w:r>
      <w:r w:rsidRPr="003F6306">
        <w:t xml:space="preserve"> justice</w:t>
      </w:r>
    </w:p>
    <w:p w:rsidR="007A01BD" w:rsidRPr="003F6306" w:rsidRDefault="00F82531" w:rsidP="00F324F0">
      <w:r w:rsidRPr="003F6306">
        <w:t>We made three public submissions on youth justice issues and two confidential</w:t>
      </w:r>
    </w:p>
    <w:p w:rsidR="007A01BD" w:rsidRPr="003F6306" w:rsidRDefault="00F82531" w:rsidP="00F324F0">
      <w:r w:rsidRPr="003F6306">
        <w:t>submissions on proposed reforms to Victoria’s youth justice laws.</w:t>
      </w:r>
    </w:p>
    <w:p w:rsidR="007A01BD" w:rsidRPr="003F6306" w:rsidRDefault="00F82531" w:rsidP="00F324F0">
      <w:r w:rsidRPr="003F6306">
        <w:t>We provided a submission on the draft terms of reference for the Australian Law Reform Commission’s (ALRC) Inquiry into</w:t>
      </w:r>
      <w:r w:rsidR="00F324F0">
        <w:t xml:space="preserve"> </w:t>
      </w:r>
      <w:r w:rsidRPr="003F6306">
        <w:t>the Incarceration Rate of Indigenous Australians, recommending that the terms expressly consider the following as factors that affect incarceration rates of children and young people:</w:t>
      </w:r>
    </w:p>
    <w:p w:rsidR="007A01BD" w:rsidRPr="003F6306" w:rsidRDefault="00F82531" w:rsidP="00F324F0">
      <w:pPr>
        <w:pStyle w:val="Bullets"/>
      </w:pPr>
      <w:r w:rsidRPr="003F6306">
        <w:t>the impact of existing laws, such as the minimum age of criminal</w:t>
      </w:r>
      <w:r w:rsidRPr="003F6306">
        <w:rPr>
          <w:spacing w:val="18"/>
        </w:rPr>
        <w:t xml:space="preserve"> </w:t>
      </w:r>
      <w:r w:rsidRPr="003F6306">
        <w:t>responsibility</w:t>
      </w:r>
    </w:p>
    <w:p w:rsidR="007A01BD" w:rsidRPr="003F6306" w:rsidRDefault="00F82531" w:rsidP="00F324F0">
      <w:pPr>
        <w:pStyle w:val="Bullets"/>
      </w:pPr>
      <w:r w:rsidRPr="003F6306">
        <w:t>the impact of family</w:t>
      </w:r>
      <w:r w:rsidRPr="003F6306">
        <w:rPr>
          <w:spacing w:val="12"/>
        </w:rPr>
        <w:t xml:space="preserve"> </w:t>
      </w:r>
      <w:r w:rsidRPr="003F6306">
        <w:t>violence</w:t>
      </w:r>
    </w:p>
    <w:p w:rsidR="007A01BD" w:rsidRPr="003F6306" w:rsidRDefault="00F82531" w:rsidP="00F324F0">
      <w:pPr>
        <w:pStyle w:val="Bullets"/>
      </w:pPr>
      <w:r w:rsidRPr="003F6306">
        <w:t>institutional racism and systemic</w:t>
      </w:r>
      <w:r w:rsidRPr="003F6306">
        <w:rPr>
          <w:spacing w:val="17"/>
        </w:rPr>
        <w:t xml:space="preserve"> </w:t>
      </w:r>
      <w:r w:rsidRPr="003F6306">
        <w:t>bias.</w:t>
      </w:r>
    </w:p>
    <w:p w:rsidR="007A01BD" w:rsidRPr="003F6306" w:rsidRDefault="00F82531" w:rsidP="00F324F0">
      <w:r w:rsidRPr="003F6306">
        <w:t>We recommended that in conducting the inquiry, the ALRC be required to engage directly with Aboriginal and Torres Strait Islander people and organisations, including children and young people.</w:t>
      </w:r>
    </w:p>
    <w:p w:rsidR="007A01BD" w:rsidRPr="003F6306" w:rsidRDefault="00F82531" w:rsidP="00F324F0">
      <w:r w:rsidRPr="003F6306">
        <w:rPr>
          <w:spacing w:val="-3"/>
        </w:rPr>
        <w:t xml:space="preserve">We </w:t>
      </w:r>
      <w:r w:rsidRPr="003F6306">
        <w:t xml:space="preserve">also submitted to the National Children’s Commissioner’s </w:t>
      </w:r>
      <w:r w:rsidRPr="003F6306">
        <w:rPr>
          <w:i/>
        </w:rPr>
        <w:t xml:space="preserve">Review of the Optional Protocol to the Convention Against Torture </w:t>
      </w:r>
      <w:r w:rsidRPr="003F6306">
        <w:t xml:space="preserve">(OPCAT) </w:t>
      </w:r>
      <w:r w:rsidRPr="003F6306">
        <w:rPr>
          <w:i/>
        </w:rPr>
        <w:t>in the Context of Youth Justice Detention Centres</w:t>
      </w:r>
      <w:r w:rsidRPr="003F6306">
        <w:t xml:space="preserve">. This review examined how the special needs of children and young people in detention should be considered and monitored under </w:t>
      </w:r>
      <w:r w:rsidRPr="003F6306">
        <w:rPr>
          <w:spacing w:val="-6"/>
        </w:rPr>
        <w:t xml:space="preserve">OPCAT. </w:t>
      </w:r>
      <w:r w:rsidRPr="003F6306">
        <w:t>Drawing on our extensive experience monitoring Victoria’s youth justice detention centres, we highlighted the importance of inspections and monitoring being performed by a body</w:t>
      </w:r>
      <w:r w:rsidRPr="003F6306">
        <w:rPr>
          <w:spacing w:val="22"/>
        </w:rPr>
        <w:t xml:space="preserve"> </w:t>
      </w:r>
      <w:r w:rsidRPr="003F6306">
        <w:t>thathas  specialist  expertise  regarding  the  needs and rights of children, including Aboriginal children, in detention. We welcomed the Federal Government’s announcement in February 2017that it will ratify OPCAT, which should strengthen independent monitoring of youth justice centres.</w:t>
      </w:r>
    </w:p>
    <w:p w:rsidR="007A01BD" w:rsidRPr="003F6306" w:rsidRDefault="00F82531" w:rsidP="00F324F0">
      <w:r w:rsidRPr="003F6306">
        <w:rPr>
          <w:spacing w:val="-3"/>
        </w:rPr>
        <w:t xml:space="preserve">We </w:t>
      </w:r>
      <w:r w:rsidRPr="003F6306">
        <w:t xml:space="preserve">provided a submission to the federal Joint Standing Committee on Migration: Inquiry into Migration Settlement Outcomes, which was tasked with giving ‘particular consideration to social engagement of youth migrants including involvement of youth migrants in anti-social behaviour such as gang activity, and the adequacy of the </w:t>
      </w:r>
      <w:r w:rsidRPr="003F6306">
        <w:rPr>
          <w:i/>
        </w:rPr>
        <w:t xml:space="preserve">Migration Act </w:t>
      </w:r>
      <w:r w:rsidRPr="003F6306">
        <w:rPr>
          <w:i/>
          <w:spacing w:val="-3"/>
        </w:rPr>
        <w:t xml:space="preserve">1958 </w:t>
      </w:r>
      <w:r w:rsidRPr="003F6306">
        <w:t xml:space="preserve">(Migration Act) character test provisions as a means to address issues arising from this behaviour’. </w:t>
      </w:r>
      <w:r w:rsidRPr="003F6306">
        <w:rPr>
          <w:spacing w:val="-3"/>
        </w:rPr>
        <w:t xml:space="preserve">We </w:t>
      </w:r>
      <w:r w:rsidRPr="003F6306">
        <w:t>submitted that changing the Migration Act would not be effective in reducing anti-social activity  by young people from refugee and migrant backgrounds. Instead, governments should invest in programs and services to reduce offending and improve the social engagement of young</w:t>
      </w:r>
      <w:r w:rsidRPr="003F6306">
        <w:rPr>
          <w:spacing w:val="3"/>
        </w:rPr>
        <w:t xml:space="preserve"> </w:t>
      </w:r>
      <w:r w:rsidRPr="003F6306">
        <w:t>people.</w:t>
      </w:r>
    </w:p>
    <w:p w:rsidR="007A01BD" w:rsidRPr="003F6306" w:rsidRDefault="00F82531">
      <w:pPr>
        <w:pStyle w:val="Heading2"/>
        <w:spacing w:line="242" w:lineRule="auto"/>
      </w:pPr>
      <w:bookmarkStart w:id="63" w:name="_TOC_250010"/>
      <w:bookmarkStart w:id="64" w:name="_Toc496019833"/>
      <w:bookmarkEnd w:id="63"/>
      <w:r w:rsidRPr="003F6306">
        <w:lastRenderedPageBreak/>
        <w:t>Highlighting the needs and experiences of children who experience family violence</w:t>
      </w:r>
      <w:bookmarkEnd w:id="64"/>
    </w:p>
    <w:p w:rsidR="007A01BD" w:rsidRPr="003F6306" w:rsidRDefault="00F82531" w:rsidP="00F324F0">
      <w:r w:rsidRPr="003F6306">
        <w:t>The recommendations of the Royal Commission into Family Violence featured prominently in this year’s policy and legislative reform agenda in Victoria, and were a considerable focus of our advocacy work.</w:t>
      </w:r>
    </w:p>
    <w:p w:rsidR="00F324F0" w:rsidRDefault="00F82531" w:rsidP="00F324F0">
      <w:r w:rsidRPr="003F6306">
        <w:t>As members of the Victorian Government’s Social Services Taskforce and Family Violence Steering Committee, the Commissioners worked to ensure children’s issues were addressed across all aspects of the family violence reform process. They also participated in other forums such as the Chief Magistrate’s Family Violence Taskforce and the Indigenous Family Violence Partnership Forum.</w:t>
      </w:r>
    </w:p>
    <w:p w:rsidR="00F324F0" w:rsidRDefault="00F82531" w:rsidP="00F324F0">
      <w:r w:rsidRPr="003F6306">
        <w:t>The Commissioners also used their contribution to numerous public forums to advocate for</w:t>
      </w:r>
      <w:r w:rsidR="00F324F0">
        <w:t xml:space="preserve"> </w:t>
      </w:r>
      <w:r w:rsidRPr="003F6306">
        <w:t>the needs of child survivors of family violence, reaching a broad range of legal, government, health and community sector audiences.</w:t>
      </w:r>
    </w:p>
    <w:p w:rsidR="007A01BD" w:rsidRPr="003F6306" w:rsidRDefault="00F82531" w:rsidP="00F324F0">
      <w:r w:rsidRPr="003F6306">
        <w:t>We also made confidential submissions on a range of family violence-related reforms.</w:t>
      </w:r>
    </w:p>
    <w:p w:rsidR="007A01BD" w:rsidRPr="003F6306" w:rsidRDefault="00F82531">
      <w:pPr>
        <w:pStyle w:val="Heading2"/>
        <w:spacing w:line="242" w:lineRule="auto"/>
        <w:ind w:right="2292"/>
      </w:pPr>
      <w:bookmarkStart w:id="65" w:name="_TOC_250009"/>
      <w:bookmarkStart w:id="66" w:name="_Toc496019834"/>
      <w:bookmarkEnd w:id="65"/>
      <w:r w:rsidRPr="003F6306">
        <w:t>Influencing the broader policy agenda for children and young people</w:t>
      </w:r>
      <w:bookmarkEnd w:id="66"/>
    </w:p>
    <w:p w:rsidR="007A01BD" w:rsidRPr="003F6306" w:rsidRDefault="00F82531">
      <w:pPr>
        <w:pStyle w:val="Heading3"/>
      </w:pPr>
      <w:r w:rsidRPr="003F6306">
        <w:t>Media and public appearances</w:t>
      </w:r>
    </w:p>
    <w:p w:rsidR="007A01BD" w:rsidRPr="003F6306" w:rsidRDefault="00F82531" w:rsidP="00F324F0">
      <w:r w:rsidRPr="003F6306">
        <w:t>The Commissioners made numerous public appearances on a range of different topics, including child protection and out-of-home care, the delivery of social and family services, and social inclusion and empowerment for young people.</w:t>
      </w:r>
    </w:p>
    <w:p w:rsidR="007A01BD" w:rsidRPr="003F6306" w:rsidRDefault="00F82531" w:rsidP="00F324F0">
      <w:r w:rsidRPr="003F6306">
        <w:t xml:space="preserve">The  Commissioner  for  Aboriginal  Children and </w:t>
      </w:r>
      <w:r w:rsidRPr="003F6306">
        <w:rPr>
          <w:spacing w:val="-4"/>
        </w:rPr>
        <w:t xml:space="preserve">Young </w:t>
      </w:r>
      <w:r w:rsidRPr="003F6306">
        <w:t xml:space="preserve">People authored a number of comment pieces highlighting the alarmingly high number of Victorian Aboriginal children  in out-of-home care and calling for an urgent policy response. He has also appeared at a range of public forums, including the Royal Commission into the Protection and Detention of Children in the Northern </w:t>
      </w:r>
      <w:r w:rsidRPr="003F6306">
        <w:rPr>
          <w:spacing w:val="-3"/>
        </w:rPr>
        <w:t xml:space="preserve">Territory, </w:t>
      </w:r>
      <w:r w:rsidRPr="003F6306">
        <w:t>where</w:t>
      </w:r>
      <w:r w:rsidRPr="003F6306">
        <w:rPr>
          <w:spacing w:val="37"/>
        </w:rPr>
        <w:t xml:space="preserve"> </w:t>
      </w:r>
      <w:r w:rsidRPr="003F6306">
        <w:t>his</w:t>
      </w:r>
    </w:p>
    <w:p w:rsidR="007A01BD" w:rsidRPr="003F6306" w:rsidRDefault="00F82531" w:rsidP="00F324F0">
      <w:r w:rsidRPr="003F6306">
        <w:t>evidence focused on the role of a Commissioner for Aboriginal Children and Young People, and the work being done to improve outcomes for Aboriginal children in the child protection and youth justice systems.</w:t>
      </w:r>
    </w:p>
    <w:p w:rsidR="00F324F0" w:rsidRDefault="00F82531" w:rsidP="00F324F0">
      <w:r w:rsidRPr="003F6306">
        <w:t>The Principal Commissioner gave more than 40 speeches including to the Royal Children’s Hospital and Monash Children’s Hospital,the ANZATSA (Australian and New Zealand Association for the Treatment of Sexual Abuse) Symposium, and spoke at the launch of the Home Stretch campaign.</w:t>
      </w:r>
    </w:p>
    <w:p w:rsidR="007A01BD" w:rsidRPr="003F6306" w:rsidRDefault="00F82531" w:rsidP="00F324F0">
      <w:pPr>
        <w:pStyle w:val="Heading3"/>
      </w:pPr>
      <w:r w:rsidRPr="003F6306">
        <w:t>Advisory groups and committees</w:t>
      </w:r>
    </w:p>
    <w:p w:rsidR="007A01BD" w:rsidRPr="003F6306" w:rsidRDefault="00F82531" w:rsidP="00F324F0">
      <w:r w:rsidRPr="003F6306">
        <w:t>The Commissioners also influenced policy through their involvement in advisory groups and committees that cut across a range of reform areas. Both sit on the Roadmap Implementation Ministerial Advisory Group, where they advise government about implementing system-level changes to Victoria’s service system to meet the needs of and improve outcomes for vulnerable children and families.</w:t>
      </w:r>
    </w:p>
    <w:p w:rsidR="007A01BD" w:rsidRPr="003F6306" w:rsidRDefault="00F82531" w:rsidP="00F324F0">
      <w:r w:rsidRPr="003F6306">
        <w:t>We proudly participate in the Australian Children’s Commissioners and Guardians (ACCG),  which  comprises  national,  state and territory commissioners, guardians and advocates for children and young people.</w:t>
      </w:r>
    </w:p>
    <w:p w:rsidR="007A01BD" w:rsidRPr="003F6306" w:rsidRDefault="00F82531" w:rsidP="00F324F0">
      <w:r w:rsidRPr="003F6306">
        <w:t>The ACCG, which meets bi-annually, aims to promote and protect the safety, wellbeing and rights of Australian children by giving thema voice, and ensuring their best interests are considered in policy and program development.</w:t>
      </w:r>
    </w:p>
    <w:p w:rsidR="007A01BD" w:rsidRPr="003F6306" w:rsidRDefault="00F82531" w:rsidP="00F324F0">
      <w:r w:rsidRPr="003F6306">
        <w:lastRenderedPageBreak/>
        <w:t>Our advocacy efforts are also advanced through the Culturally and Linguistically Diverse</w:t>
      </w:r>
      <w:r w:rsidR="00803831">
        <w:t xml:space="preserve"> </w:t>
      </w:r>
      <w:r w:rsidRPr="003F6306">
        <w:t>(CALD) Strategic Partnership Advisory Committee, which is a partnership between the Commission and the Ethnic Communities</w:t>
      </w:r>
    </w:p>
    <w:p w:rsidR="007A01BD" w:rsidRPr="003F6306" w:rsidRDefault="00F82531" w:rsidP="00F324F0">
      <w:r w:rsidRPr="003F6306">
        <w:t>Council of Victoria (ECCV). It includes decision- makers from key government departments and non-government agencies, who collaborate to identify strategic responses that improve the lives of vulnerable children and families from CALD and refugee backgrounds.</w:t>
      </w:r>
    </w:p>
    <w:p w:rsidR="007A01BD" w:rsidRPr="003F6306" w:rsidRDefault="00F82531" w:rsidP="00F324F0">
      <w:pPr>
        <w:pStyle w:val="Heading3"/>
      </w:pPr>
      <w:r w:rsidRPr="003F6306">
        <w:t>Submissions</w:t>
      </w:r>
    </w:p>
    <w:p w:rsidR="007A01BD" w:rsidRPr="003F6306" w:rsidRDefault="00F82531" w:rsidP="00F324F0">
      <w:r w:rsidRPr="003F6306">
        <w:t>We made seven public submissions about issues impacting vulnerable children and young people in 2016–17, and made six confidential submissions to inform legislative reform.</w:t>
      </w:r>
    </w:p>
    <w:p w:rsidR="007A01BD" w:rsidRPr="003F6306" w:rsidRDefault="00F82531" w:rsidP="00F324F0">
      <w:r w:rsidRPr="003F6306">
        <w:t>Our submissions covered a range of topics, including education, youth justice, family violence and information sharing.</w:t>
      </w:r>
    </w:p>
    <w:p w:rsidR="007A01BD" w:rsidRPr="003F6306" w:rsidRDefault="00F82531" w:rsidP="00F324F0">
      <w:pPr>
        <w:pStyle w:val="Heading4"/>
      </w:pPr>
      <w:r w:rsidRPr="003F6306">
        <w:t>Education</w:t>
      </w:r>
    </w:p>
    <w:p w:rsidR="007A01BD" w:rsidRPr="003F6306" w:rsidRDefault="00F82531" w:rsidP="00F324F0">
      <w:pPr>
        <w:rPr>
          <w:sz w:val="19"/>
        </w:rPr>
      </w:pPr>
      <w:r w:rsidRPr="003F6306">
        <w:rPr>
          <w:spacing w:val="-3"/>
        </w:rPr>
        <w:t xml:space="preserve">We </w:t>
      </w:r>
      <w:r w:rsidRPr="003F6306">
        <w:t xml:space="preserve">made a submission to the Victorian Ombudsman’s investigation into expulsions from Victorian government schools. </w:t>
      </w:r>
      <w:r w:rsidRPr="003F6306">
        <w:rPr>
          <w:spacing w:val="-3"/>
        </w:rPr>
        <w:t xml:space="preserve">We </w:t>
      </w:r>
      <w:r w:rsidRPr="003F6306">
        <w:t xml:space="preserve">argued that certain groups of children are disproportionately excluded or disengaged from education, particularly children in residential care and Aboriginal children. </w:t>
      </w:r>
      <w:r w:rsidRPr="003F6306">
        <w:rPr>
          <w:spacing w:val="-3"/>
        </w:rPr>
        <w:t xml:space="preserve">We </w:t>
      </w:r>
      <w:r w:rsidRPr="003F6306">
        <w:t xml:space="preserve">recommended collecting detailed demographic data on students subject to suspension and expulsion, stronger policy  and procedures to make expulsion a last resort, and a better appeals process to prevent a disproportionate impact on vulnerable students and their families. The Ombudsman’s report, released in August </w:t>
      </w:r>
      <w:r w:rsidRPr="003F6306">
        <w:rPr>
          <w:spacing w:val="-9"/>
        </w:rPr>
        <w:t xml:space="preserve">2017, </w:t>
      </w:r>
      <w:r w:rsidRPr="003F6306">
        <w:t>reflected most</w:t>
      </w:r>
      <w:r w:rsidRPr="003F6306">
        <w:rPr>
          <w:spacing w:val="27"/>
        </w:rPr>
        <w:t xml:space="preserve"> </w:t>
      </w:r>
      <w:r w:rsidRPr="003F6306">
        <w:t>of</w:t>
      </w:r>
      <w:r w:rsidR="00F324F0">
        <w:t xml:space="preserve"> </w:t>
      </w:r>
      <w:r w:rsidRPr="003F6306">
        <w:t>our recommendations.</w:t>
      </w:r>
    </w:p>
    <w:p w:rsidR="007A01BD" w:rsidRPr="003F6306" w:rsidRDefault="00F82531" w:rsidP="00F324F0">
      <w:r w:rsidRPr="003F6306">
        <w:t>We contributed to the review of the Education and Training Reform Regulations 2017 to ensure the safety and wellbeing of children who are at greater risk of being marginalised. Our submission supported the idea of principals consulting the school community and council to develop a student behaviour policy, with an expectation that the proposed evaluation framework would address the</w:t>
      </w:r>
      <w:r w:rsidR="00803831">
        <w:t xml:space="preserve"> </w:t>
      </w:r>
      <w:r w:rsidRPr="003F6306">
        <w:t>risk of inconsistency between schools. We recommended integrating work around challenging behaviours, and the use of restraint and seclusion, with other work</w:t>
      </w:r>
      <w:r w:rsidR="00F324F0">
        <w:t xml:space="preserve"> </w:t>
      </w:r>
      <w:r w:rsidRPr="003F6306">
        <w:t>in youth justice and mental health.</w:t>
      </w:r>
      <w:r w:rsidR="00F324F0" w:rsidRPr="003F6306">
        <w:t xml:space="preserve"> </w:t>
      </w:r>
    </w:p>
    <w:p w:rsidR="007A01BD" w:rsidRPr="003F6306" w:rsidRDefault="00F82531" w:rsidP="001B1926">
      <w:r w:rsidRPr="003F6306">
        <w:t>We also proposed stronger registration processes, and ongoing monitoring, assessment and visibility of children who are home schooled.</w:t>
      </w:r>
    </w:p>
    <w:p w:rsidR="007A01BD" w:rsidRPr="003F6306" w:rsidRDefault="00F82531" w:rsidP="001B1926">
      <w:pPr>
        <w:pStyle w:val="Heading4"/>
      </w:pPr>
      <w:r w:rsidRPr="003F6306">
        <w:t>Adoption</w:t>
      </w:r>
    </w:p>
    <w:p w:rsidR="007A01BD" w:rsidRPr="003F6306" w:rsidRDefault="00F82531" w:rsidP="001B1926">
      <w:r w:rsidRPr="003F6306">
        <w:t xml:space="preserve">Our submission to the Victorian Law Reform Commission’s (VLRC) review of Victoria’s </w:t>
      </w:r>
      <w:r w:rsidRPr="003F6306">
        <w:rPr>
          <w:i/>
        </w:rPr>
        <w:t xml:space="preserve">Adoption Act 1984 </w:t>
      </w:r>
      <w:r w:rsidRPr="003F6306">
        <w:t>recommended</w:t>
      </w:r>
      <w:r w:rsidR="001B1926">
        <w:t xml:space="preserve"> </w:t>
      </w:r>
      <w:r w:rsidRPr="003F6306">
        <w:t>training and education on applying the ‘best interests’ principle to decisions about children and young people, and ensuring children and young people are involved in decisions about adoption. We also urged the VLRC’s review</w:t>
      </w:r>
      <w:r w:rsidR="001B1926">
        <w:t xml:space="preserve"> </w:t>
      </w:r>
      <w:r w:rsidRPr="003F6306">
        <w:t xml:space="preserve">to consider historical and current adoption issues for Aboriginal and </w:t>
      </w:r>
      <w:r w:rsidRPr="003F6306">
        <w:rPr>
          <w:spacing w:val="-3"/>
        </w:rPr>
        <w:t xml:space="preserve">Torres </w:t>
      </w:r>
      <w:r w:rsidRPr="003F6306">
        <w:t>Strait Islander children, and the findings and recommendations of our own inquiries into compliance with the ACPP and Taskforce 1000 when</w:t>
      </w:r>
      <w:r w:rsidRPr="003F6306">
        <w:rPr>
          <w:spacing w:val="-5"/>
        </w:rPr>
        <w:t xml:space="preserve"> </w:t>
      </w:r>
      <w:r w:rsidRPr="003F6306">
        <w:t>formulating</w:t>
      </w:r>
      <w:r w:rsidR="001B1926">
        <w:t xml:space="preserve"> </w:t>
      </w:r>
      <w:r w:rsidRPr="003F6306">
        <w:t>our recommendations.</w:t>
      </w:r>
    </w:p>
    <w:p w:rsidR="007A01BD" w:rsidRPr="003F6306" w:rsidRDefault="00F82531" w:rsidP="001B1926">
      <w:pPr>
        <w:pStyle w:val="Heading4"/>
      </w:pPr>
      <w:r w:rsidRPr="003F6306">
        <w:t>Royal Commission into Institutional Responses to Child Sexual Abuse</w:t>
      </w:r>
    </w:p>
    <w:p w:rsidR="007A01BD" w:rsidRPr="003F6306" w:rsidRDefault="00F82531" w:rsidP="001B1926">
      <w:r w:rsidRPr="003F6306">
        <w:rPr>
          <w:spacing w:val="-3"/>
        </w:rPr>
        <w:t xml:space="preserve">We </w:t>
      </w:r>
      <w:r w:rsidRPr="003F6306">
        <w:t>made two submissions to the Royal Commission into Institutional Responses to Child Sexual Abuse, one on forced marriage and one on criminal justice responses to  child sexual abuse. Our submission on</w:t>
      </w:r>
      <w:r w:rsidRPr="003F6306">
        <w:rPr>
          <w:spacing w:val="20"/>
        </w:rPr>
        <w:t xml:space="preserve"> </w:t>
      </w:r>
      <w:r w:rsidRPr="003F6306">
        <w:t>forced</w:t>
      </w:r>
      <w:r w:rsidR="001B1926">
        <w:t xml:space="preserve"> </w:t>
      </w:r>
      <w:r w:rsidRPr="003F6306">
        <w:t>marriage provided an overview of the legal and service context of forced marriage in Australia, highlighted trends in forced marriage, and made a range of suggestions about improving funding, services and the government’s response.</w:t>
      </w:r>
    </w:p>
    <w:p w:rsidR="007A01BD" w:rsidRPr="003F6306" w:rsidRDefault="00F82531" w:rsidP="001B1926">
      <w:r w:rsidRPr="003F6306">
        <w:t xml:space="preserve">Our submission on criminal justice highlighted the importance of making sure children are heard in the criminal justice system. We recommended that specialist police responses to </w:t>
      </w:r>
      <w:r w:rsidRPr="003F6306">
        <w:lastRenderedPageBreak/>
        <w:t>child sexual abuse be developed, alongside information-sharing protocols and practices, with attention to information barriers and the experience of vulnerable groups. We also urged the Royal Commission to support a national training approach, and an appropriately-funded research program for justice responses to child sexual abuse.</w:t>
      </w:r>
    </w:p>
    <w:p w:rsidR="001B1926" w:rsidRDefault="001B1926">
      <w:pPr>
        <w:spacing w:before="0"/>
        <w:rPr>
          <w:rFonts w:eastAsiaTheme="majorEastAsia"/>
          <w:b/>
          <w:spacing w:val="-13"/>
          <w:sz w:val="28"/>
          <w:szCs w:val="32"/>
        </w:rPr>
      </w:pPr>
      <w:bookmarkStart w:id="67" w:name="_TOC_250008"/>
      <w:r>
        <w:rPr>
          <w:spacing w:val="-13"/>
        </w:rPr>
        <w:br w:type="page"/>
      </w:r>
    </w:p>
    <w:p w:rsidR="007A01BD" w:rsidRPr="003F6306" w:rsidRDefault="00F82531" w:rsidP="001B1926">
      <w:pPr>
        <w:pStyle w:val="Heading1"/>
      </w:pPr>
      <w:bookmarkStart w:id="68" w:name="_Toc496019835"/>
      <w:r w:rsidRPr="003F6306">
        <w:rPr>
          <w:spacing w:val="-13"/>
        </w:rPr>
        <w:lastRenderedPageBreak/>
        <w:t xml:space="preserve">Supporting </w:t>
      </w:r>
      <w:r w:rsidRPr="003F6306">
        <w:rPr>
          <w:spacing w:val="-11"/>
        </w:rPr>
        <w:t xml:space="preserve">and </w:t>
      </w:r>
      <w:r w:rsidRPr="003F6306">
        <w:rPr>
          <w:spacing w:val="-15"/>
        </w:rPr>
        <w:t xml:space="preserve">regulating </w:t>
      </w:r>
      <w:r w:rsidRPr="003F6306">
        <w:t xml:space="preserve">organisations </w:t>
      </w:r>
      <w:r w:rsidRPr="003F6306">
        <w:rPr>
          <w:spacing w:val="-17"/>
        </w:rPr>
        <w:t xml:space="preserve">working </w:t>
      </w:r>
      <w:r w:rsidRPr="003F6306">
        <w:rPr>
          <w:spacing w:val="-12"/>
        </w:rPr>
        <w:t xml:space="preserve">with </w:t>
      </w:r>
      <w:bookmarkEnd w:id="67"/>
      <w:r w:rsidRPr="003F6306">
        <w:rPr>
          <w:spacing w:val="-14"/>
        </w:rPr>
        <w:t>children</w:t>
      </w:r>
      <w:bookmarkEnd w:id="68"/>
    </w:p>
    <w:p w:rsidR="007A01BD" w:rsidRPr="003F6306" w:rsidRDefault="00F82531" w:rsidP="001B1926">
      <w:pPr>
        <w:pStyle w:val="Heading2"/>
      </w:pPr>
      <w:bookmarkStart w:id="69" w:name="_TOC_250007"/>
      <w:bookmarkStart w:id="70" w:name="_Toc496019836"/>
      <w:bookmarkEnd w:id="69"/>
      <w:r w:rsidRPr="003F6306">
        <w:t>Overview</w:t>
      </w:r>
      <w:bookmarkEnd w:id="70"/>
    </w:p>
    <w:p w:rsidR="007A01BD" w:rsidRPr="003F6306" w:rsidRDefault="00F82531" w:rsidP="001B1926">
      <w:r w:rsidRPr="003F6306">
        <w:t>We work to create safe, positive environments for children and young people to thrive.</w:t>
      </w:r>
    </w:p>
    <w:p w:rsidR="007A01BD" w:rsidRPr="003F6306" w:rsidRDefault="00F82531" w:rsidP="001B1926">
      <w:r w:rsidRPr="003F6306">
        <w:t>We are proud to be tasked with overseeing the new Child Safe Standards and administering the Reportable Conduct Scheme. Together, these complementary schemes operate to prevent the abuse of children in organisational settings and to support organisations to respond appropriately when allegations of abuse are made.</w:t>
      </w:r>
    </w:p>
    <w:p w:rsidR="007A01BD" w:rsidRPr="003F6306" w:rsidRDefault="00F82531" w:rsidP="001B1926">
      <w:r w:rsidRPr="003F6306">
        <w:t xml:space="preserve">The Child Safe Standards describe in legislation the minimum that organisations must do to build child-safe systems, policies and culture. The standards have applied to government-funded and regulated organisations since January </w:t>
      </w:r>
      <w:r w:rsidRPr="003F6306">
        <w:rPr>
          <w:spacing w:val="-4"/>
        </w:rPr>
        <w:t xml:space="preserve">2016, </w:t>
      </w:r>
      <w:r w:rsidRPr="003F6306">
        <w:t xml:space="preserve">and covered a broader range of organisations from January </w:t>
      </w:r>
      <w:r w:rsidRPr="003F6306">
        <w:rPr>
          <w:spacing w:val="-9"/>
        </w:rPr>
        <w:t xml:space="preserve">2017. </w:t>
      </w:r>
      <w:r w:rsidRPr="003F6306">
        <w:t>From that date, we assumed a legislated role in educating organisations about the standards and overseeing organisations’ efforts to implement</w:t>
      </w:r>
      <w:r w:rsidRPr="003F6306">
        <w:rPr>
          <w:spacing w:val="17"/>
        </w:rPr>
        <w:t xml:space="preserve"> </w:t>
      </w:r>
      <w:r w:rsidRPr="003F6306">
        <w:t>them.</w:t>
      </w:r>
    </w:p>
    <w:p w:rsidR="007A01BD" w:rsidRPr="003F6306" w:rsidRDefault="00F82531" w:rsidP="001B1926">
      <w:r w:rsidRPr="003F6306">
        <w:t>The Reportable Conduct Scheme requires some organisations to report allegations of abuse</w:t>
      </w:r>
      <w:r w:rsidR="001B1926">
        <w:t xml:space="preserve"> </w:t>
      </w:r>
      <w:r w:rsidRPr="003F6306">
        <w:t>by staff or volunteers to us so we can support thorough, effective investigations and oversee organisations’ responses. The scheme will also allow us to share information where appropriate, including with Victoria Police and the Working with Children Check unit, to better prevent child abuse. During the first half of 2017 we worked hard to make sure we had the right systems, processes and people to operate this exciting and important new scheme.</w:t>
      </w:r>
    </w:p>
    <w:p w:rsidR="007A01BD" w:rsidRPr="003F6306" w:rsidRDefault="00F82531" w:rsidP="001B1926">
      <w:pPr>
        <w:pStyle w:val="Heading2"/>
      </w:pPr>
      <w:bookmarkStart w:id="71" w:name="_Toc496019837"/>
      <w:r w:rsidRPr="003F6306">
        <w:t>New regulatory schemes introduced to prevent and respond to child abuse</w:t>
      </w:r>
      <w:bookmarkEnd w:id="71"/>
    </w:p>
    <w:p w:rsidR="007A01BD" w:rsidRPr="003F6306" w:rsidRDefault="00F82531" w:rsidP="001B1926">
      <w:r w:rsidRPr="003F6306">
        <w:rPr>
          <w:i/>
        </w:rPr>
        <w:t xml:space="preserve">Betrayal of </w:t>
      </w:r>
      <w:r w:rsidRPr="003F6306">
        <w:rPr>
          <w:i/>
          <w:spacing w:val="-3"/>
        </w:rPr>
        <w:t>Trust</w:t>
      </w:r>
      <w:r w:rsidRPr="003F6306">
        <w:rPr>
          <w:spacing w:val="-3"/>
        </w:rPr>
        <w:t xml:space="preserve">, </w:t>
      </w:r>
      <w:r w:rsidRPr="003F6306">
        <w:t xml:space="preserve">the report of the inquiry into the handling of child abuse by religious and other non-government organisations was tabled in the Victorian Parliament in </w:t>
      </w:r>
      <w:r w:rsidRPr="003F6306">
        <w:rPr>
          <w:spacing w:val="-4"/>
        </w:rPr>
        <w:t xml:space="preserve">2013. </w:t>
      </w:r>
      <w:r w:rsidRPr="003F6306">
        <w:t>In response to the report, the Victorian Government has introduced significant legislative</w:t>
      </w:r>
      <w:r w:rsidRPr="003F6306">
        <w:rPr>
          <w:spacing w:val="23"/>
        </w:rPr>
        <w:t xml:space="preserve"> </w:t>
      </w:r>
      <w:r w:rsidRPr="003F6306">
        <w:t>changes</w:t>
      </w:r>
      <w:r w:rsidR="001B1926">
        <w:t xml:space="preserve"> </w:t>
      </w:r>
      <w:r w:rsidRPr="003F6306">
        <w:t>in 2016–17 including:</w:t>
      </w:r>
    </w:p>
    <w:p w:rsidR="007A01BD" w:rsidRPr="003F6306" w:rsidRDefault="00F82531" w:rsidP="001B1926">
      <w:pPr>
        <w:pStyle w:val="NumberedList"/>
      </w:pPr>
      <w:r w:rsidRPr="003F6306">
        <w:t>new powers to oversee and enforce compliance with the Child Safe Standards from 1 January</w:t>
      </w:r>
      <w:r w:rsidRPr="003F6306">
        <w:rPr>
          <w:spacing w:val="15"/>
        </w:rPr>
        <w:t xml:space="preserve"> </w:t>
      </w:r>
      <w:r w:rsidRPr="003F6306">
        <w:rPr>
          <w:spacing w:val="-6"/>
        </w:rPr>
        <w:t>2017</w:t>
      </w:r>
    </w:p>
    <w:p w:rsidR="007A01BD" w:rsidRPr="003F6306" w:rsidRDefault="00F82531" w:rsidP="001B1926">
      <w:pPr>
        <w:pStyle w:val="NumberedList"/>
      </w:pPr>
      <w:r w:rsidRPr="003F6306">
        <w:t>the new Victorian Reportable Conduct Scheme from 1 July</w:t>
      </w:r>
      <w:r w:rsidRPr="003F6306">
        <w:rPr>
          <w:spacing w:val="8"/>
        </w:rPr>
        <w:t xml:space="preserve"> </w:t>
      </w:r>
      <w:r w:rsidRPr="003F6306">
        <w:rPr>
          <w:spacing w:val="-9"/>
        </w:rPr>
        <w:t>2017.</w:t>
      </w:r>
    </w:p>
    <w:p w:rsidR="007A01BD" w:rsidRPr="003F6306" w:rsidRDefault="00F82531" w:rsidP="001B1926">
      <w:r w:rsidRPr="003F6306">
        <w:t>The schemes require organisations to have a child-safe culture, as well as systems and</w:t>
      </w:r>
      <w:r w:rsidR="001B1926">
        <w:t xml:space="preserve"> </w:t>
      </w:r>
      <w:r w:rsidRPr="003F6306">
        <w:t>processes to prevent child abuse and effectively respond to allegations of child abuse by their workers and volunteers. We are responsible for administering the schemes. Our role includes:</w:t>
      </w:r>
    </w:p>
    <w:p w:rsidR="007A01BD" w:rsidRPr="003F6306" w:rsidRDefault="00F82531" w:rsidP="001B1926">
      <w:pPr>
        <w:pStyle w:val="Bullets"/>
      </w:pPr>
      <w:r w:rsidRPr="003F6306">
        <w:t>promoting and supporting organisations to implement the</w:t>
      </w:r>
      <w:r w:rsidRPr="003F6306">
        <w:rPr>
          <w:spacing w:val="15"/>
        </w:rPr>
        <w:t xml:space="preserve"> </w:t>
      </w:r>
      <w:r w:rsidRPr="003F6306">
        <w:t>standards</w:t>
      </w:r>
    </w:p>
    <w:p w:rsidR="007A01BD" w:rsidRPr="003F6306" w:rsidRDefault="00F82531" w:rsidP="001B1926">
      <w:pPr>
        <w:pStyle w:val="Bullets"/>
      </w:pPr>
      <w:r w:rsidRPr="003F6306">
        <w:t xml:space="preserve">supporting and guiding organisations that receive allegations to conduct </w:t>
      </w:r>
      <w:r w:rsidRPr="003F6306">
        <w:rPr>
          <w:spacing w:val="-3"/>
        </w:rPr>
        <w:t xml:space="preserve">fair, </w:t>
      </w:r>
      <w:r w:rsidRPr="003F6306">
        <w:t>effective, timely and appropriate investigations into workers or volunteers who have engaged in child</w:t>
      </w:r>
      <w:r w:rsidRPr="003F6306">
        <w:rPr>
          <w:spacing w:val="5"/>
        </w:rPr>
        <w:t xml:space="preserve"> </w:t>
      </w:r>
      <w:r w:rsidRPr="003F6306">
        <w:t>abuse</w:t>
      </w:r>
    </w:p>
    <w:p w:rsidR="007A01BD" w:rsidRPr="003F6306" w:rsidRDefault="00F82531" w:rsidP="001B1926">
      <w:pPr>
        <w:pStyle w:val="Bullets"/>
      </w:pPr>
      <w:r w:rsidRPr="003F6306">
        <w:t>independently overseeing, monitoring and, where appropriate,</w:t>
      </w:r>
      <w:r w:rsidRPr="001B1926">
        <w:rPr>
          <w:spacing w:val="11"/>
        </w:rPr>
        <w:t xml:space="preserve"> </w:t>
      </w:r>
      <w:r w:rsidRPr="003F6306">
        <w:t>making</w:t>
      </w:r>
      <w:r w:rsidR="001B1926">
        <w:t xml:space="preserve"> </w:t>
      </w:r>
      <w:r w:rsidRPr="003F6306">
        <w:t>recommendations to improve investigations of those organisations</w:t>
      </w:r>
    </w:p>
    <w:p w:rsidR="007A01BD" w:rsidRPr="003F6306" w:rsidRDefault="00F82531" w:rsidP="001B1926">
      <w:pPr>
        <w:pStyle w:val="Bullets"/>
      </w:pPr>
      <w:r w:rsidRPr="003F6306">
        <w:t>referring substantiated findings of child abuse or misconduct to the Working  With Children Check unit to determine</w:t>
      </w:r>
      <w:r w:rsidRPr="003F6306">
        <w:rPr>
          <w:spacing w:val="10"/>
        </w:rPr>
        <w:t xml:space="preserve"> </w:t>
      </w:r>
      <w:r w:rsidRPr="003F6306">
        <w:t>an</w:t>
      </w:r>
    </w:p>
    <w:p w:rsidR="007A01BD" w:rsidRPr="003F6306" w:rsidRDefault="00F82531" w:rsidP="001B1926">
      <w:pPr>
        <w:pStyle w:val="Bullets"/>
      </w:pPr>
      <w:r w:rsidRPr="003F6306">
        <w:t>individual’s suitability to work with children</w:t>
      </w:r>
    </w:p>
    <w:p w:rsidR="007A01BD" w:rsidRPr="003F6306" w:rsidRDefault="00F82531" w:rsidP="001B1926">
      <w:pPr>
        <w:pStyle w:val="Bullets"/>
      </w:pPr>
      <w:r w:rsidRPr="003F6306">
        <w:t>referring allegations of child abuse to regulators to take appropriate action and determine the suitability of individuals to remain accredited in some</w:t>
      </w:r>
      <w:r w:rsidRPr="003F6306">
        <w:rPr>
          <w:spacing w:val="20"/>
        </w:rPr>
        <w:t xml:space="preserve"> </w:t>
      </w:r>
      <w:r w:rsidRPr="003F6306">
        <w:t>professions</w:t>
      </w:r>
    </w:p>
    <w:p w:rsidR="007A01BD" w:rsidRPr="003F6306" w:rsidRDefault="00F82531" w:rsidP="001B1926">
      <w:pPr>
        <w:pStyle w:val="Bullets"/>
      </w:pPr>
      <w:r w:rsidRPr="003F6306">
        <w:t>supporting and working with regulators to promote awareness and</w:t>
      </w:r>
      <w:r w:rsidRPr="003F6306">
        <w:rPr>
          <w:spacing w:val="13"/>
        </w:rPr>
        <w:t xml:space="preserve"> </w:t>
      </w:r>
      <w:r w:rsidRPr="003F6306">
        <w:t>compliance.</w:t>
      </w:r>
    </w:p>
    <w:p w:rsidR="007A01BD" w:rsidRPr="003F6306" w:rsidRDefault="00F82531" w:rsidP="001B1926">
      <w:r w:rsidRPr="003F6306">
        <w:t>Both schemes have resulted in significant change and restructure for Commission staff including:</w:t>
      </w:r>
    </w:p>
    <w:p w:rsidR="007A01BD" w:rsidRPr="003F6306" w:rsidRDefault="00F82531" w:rsidP="001B1926">
      <w:pPr>
        <w:pStyle w:val="Bullets"/>
      </w:pPr>
      <w:r w:rsidRPr="003F6306">
        <w:t>expanded</w:t>
      </w:r>
      <w:r w:rsidRPr="003F6306">
        <w:rPr>
          <w:spacing w:val="12"/>
        </w:rPr>
        <w:t xml:space="preserve"> </w:t>
      </w:r>
      <w:r w:rsidRPr="003F6306">
        <w:t>functions</w:t>
      </w:r>
    </w:p>
    <w:p w:rsidR="007A01BD" w:rsidRPr="003F6306" w:rsidRDefault="00F82531" w:rsidP="001B1926">
      <w:pPr>
        <w:pStyle w:val="Bullets"/>
      </w:pPr>
      <w:r w:rsidRPr="003F6306">
        <w:lastRenderedPageBreak/>
        <w:t>a new program of engagement to reach organisations now subject to</w:t>
      </w:r>
      <w:r w:rsidRPr="001B1926">
        <w:rPr>
          <w:spacing w:val="15"/>
        </w:rPr>
        <w:t xml:space="preserve"> </w:t>
      </w:r>
      <w:r w:rsidRPr="003F6306">
        <w:t>the</w:t>
      </w:r>
      <w:r w:rsidR="001B1926">
        <w:t xml:space="preserve"> </w:t>
      </w:r>
      <w:r w:rsidRPr="003F6306">
        <w:t>schemes, and working closely with those who co-regulate organisations subject to the schemes</w:t>
      </w:r>
    </w:p>
    <w:p w:rsidR="007A01BD" w:rsidRPr="003F6306" w:rsidRDefault="00F82531" w:rsidP="001B1926">
      <w:pPr>
        <w:pStyle w:val="Bullets"/>
      </w:pPr>
      <w:r w:rsidRPr="003F6306">
        <w:t>developing, testing and implementing operational</w:t>
      </w:r>
      <w:r w:rsidRPr="003F6306">
        <w:rPr>
          <w:spacing w:val="17"/>
        </w:rPr>
        <w:t xml:space="preserve"> </w:t>
      </w:r>
      <w:r w:rsidRPr="003F6306">
        <w:t>procedures</w:t>
      </w:r>
    </w:p>
    <w:p w:rsidR="007A01BD" w:rsidRPr="003F6306" w:rsidRDefault="00F82531" w:rsidP="001B1926">
      <w:pPr>
        <w:pStyle w:val="Bullets"/>
      </w:pPr>
      <w:r w:rsidRPr="003F6306">
        <w:t>designing, building and testing business systems to capture the new case management</w:t>
      </w:r>
      <w:r w:rsidRPr="003F6306">
        <w:rPr>
          <w:spacing w:val="16"/>
        </w:rPr>
        <w:t xml:space="preserve"> </w:t>
      </w:r>
      <w:r w:rsidRPr="003F6306">
        <w:t>functions</w:t>
      </w:r>
    </w:p>
    <w:p w:rsidR="001B1926" w:rsidRDefault="00F82531" w:rsidP="001B1926">
      <w:pPr>
        <w:pStyle w:val="Bullets"/>
        <w:spacing w:before="214"/>
      </w:pPr>
      <w:r w:rsidRPr="003F6306">
        <w:t>engaging and training new operational and support</w:t>
      </w:r>
      <w:r w:rsidRPr="001B1926">
        <w:rPr>
          <w:spacing w:val="1"/>
        </w:rPr>
        <w:t xml:space="preserve"> </w:t>
      </w:r>
      <w:r w:rsidRPr="003F6306">
        <w:t>staff.</w:t>
      </w:r>
    </w:p>
    <w:p w:rsidR="007A01BD" w:rsidRPr="003F6306" w:rsidRDefault="00F82531" w:rsidP="001B1926">
      <w:pPr>
        <w:pStyle w:val="Heading2"/>
      </w:pPr>
      <w:bookmarkStart w:id="72" w:name="_Toc496019838"/>
      <w:r w:rsidRPr="003F6306">
        <w:t>Child Safe Standards</w:t>
      </w:r>
      <w:bookmarkEnd w:id="72"/>
    </w:p>
    <w:p w:rsidR="007A01BD" w:rsidRPr="003F6306" w:rsidRDefault="00F82531" w:rsidP="001B1926">
      <w:r w:rsidRPr="003F6306">
        <w:t>On 15 November 2016 legislation was passed to amend the Child Wellbeing and Safety Act. From 1 January 2017 the Commission has had the power to oversee and enforce organisations’ compliance with</w:t>
      </w:r>
    </w:p>
    <w:p w:rsidR="007A01BD" w:rsidRPr="003F6306" w:rsidRDefault="00F82531" w:rsidP="001B1926">
      <w:r w:rsidRPr="003F6306">
        <w:t>the standards, and other regulators and funders have shared responsibility to oversee and promote compliance.</w:t>
      </w:r>
    </w:p>
    <w:p w:rsidR="007A01BD" w:rsidRPr="003F6306" w:rsidRDefault="00F82531" w:rsidP="001B1926">
      <w:r w:rsidRPr="003F6306">
        <w:t>The standards cover a broad range of organisations that provide services and facilities to children, and call for minimum requirements to be met with a continuous improvement approach to safety, preventing child abuse and properly responding to</w:t>
      </w:r>
      <w:r w:rsidRPr="003F6306">
        <w:rPr>
          <w:spacing w:val="20"/>
        </w:rPr>
        <w:t xml:space="preserve"> </w:t>
      </w:r>
      <w:r w:rsidRPr="003F6306">
        <w:t>allegations.</w:t>
      </w:r>
    </w:p>
    <w:p w:rsidR="007A01BD" w:rsidRPr="003F6306" w:rsidRDefault="00F82531" w:rsidP="001B1926">
      <w:r w:rsidRPr="003F6306">
        <w:t>Our focus so far has been on educating organisations about how to comply. We have undertaken some compliance-related activities following concerns being brought to our attention. Other regulators and funders</w:t>
      </w:r>
      <w:r w:rsidR="001B1926">
        <w:t xml:space="preserve"> </w:t>
      </w:r>
      <w:r w:rsidRPr="003F6306">
        <w:t>also undertook compliance activities.</w:t>
      </w:r>
    </w:p>
    <w:p w:rsidR="007A01BD" w:rsidRPr="003F6306" w:rsidRDefault="00F82531" w:rsidP="001B1926">
      <w:r w:rsidRPr="003F6306">
        <w:t xml:space="preserve">The campaign gained more than two million views across apps, websites, </w:t>
      </w:r>
      <w:r w:rsidRPr="003F6306">
        <w:rPr>
          <w:spacing w:val="-6"/>
        </w:rPr>
        <w:t xml:space="preserve">YouTube, </w:t>
      </w:r>
      <w:r w:rsidRPr="003F6306">
        <w:t xml:space="preserve">Facebook, and Google. Our Google ads resulted in almost 4,000 additional visits to our website and our promotion on Facebook gained almost 700,000 views. </w:t>
      </w:r>
      <w:r w:rsidRPr="003F6306">
        <w:rPr>
          <w:spacing w:val="-3"/>
        </w:rPr>
        <w:t xml:space="preserve">We </w:t>
      </w:r>
      <w:r w:rsidRPr="003F6306">
        <w:t>also reached CALD communities by placing banners on</w:t>
      </w:r>
      <w:r w:rsidRPr="003F6306">
        <w:rPr>
          <w:spacing w:val="22"/>
        </w:rPr>
        <w:t xml:space="preserve"> </w:t>
      </w:r>
      <w:r w:rsidRPr="003F6306">
        <w:t>websitesin several languages visited by Victorian users including websites in Hindi, Traditional/ Simplified Chinese and</w:t>
      </w:r>
      <w:r w:rsidRPr="003F6306">
        <w:rPr>
          <w:spacing w:val="20"/>
        </w:rPr>
        <w:t xml:space="preserve"> </w:t>
      </w:r>
      <w:r w:rsidRPr="003F6306">
        <w:t>Vietnamese.</w:t>
      </w:r>
    </w:p>
    <w:p w:rsidR="007A01BD" w:rsidRPr="003F6306" w:rsidRDefault="00F82531" w:rsidP="001B1926">
      <w:pPr>
        <w:pStyle w:val="Heading2"/>
      </w:pPr>
      <w:bookmarkStart w:id="73" w:name="_TOC_250004"/>
      <w:bookmarkStart w:id="74" w:name="_Toc496019839"/>
      <w:bookmarkEnd w:id="73"/>
      <w:r w:rsidRPr="003F6306">
        <w:t>Compliance support</w:t>
      </w:r>
      <w:bookmarkEnd w:id="74"/>
    </w:p>
    <w:p w:rsidR="007A01BD" w:rsidRPr="003F6306" w:rsidRDefault="00F82531" w:rsidP="001B1926">
      <w:r w:rsidRPr="003F6306">
        <w:t>To help organisations understand and comply with the standards we:</w:t>
      </w:r>
    </w:p>
    <w:p w:rsidR="007A01BD" w:rsidRPr="003F6306" w:rsidRDefault="00F82531" w:rsidP="001B1926">
      <w:pPr>
        <w:pStyle w:val="Bullets"/>
      </w:pPr>
      <w:r w:rsidRPr="003F6306">
        <w:t>ran a digital awareness</w:t>
      </w:r>
      <w:r w:rsidRPr="003F6306">
        <w:rPr>
          <w:spacing w:val="17"/>
        </w:rPr>
        <w:t xml:space="preserve"> </w:t>
      </w:r>
      <w:r w:rsidRPr="003F6306">
        <w:t>campaign</w:t>
      </w:r>
    </w:p>
    <w:p w:rsidR="007A01BD" w:rsidRPr="003F6306" w:rsidRDefault="00F82531" w:rsidP="001B1926">
      <w:pPr>
        <w:pStyle w:val="Bullets"/>
      </w:pPr>
      <w:r w:rsidRPr="003F6306">
        <w:t>held information sessions throughout the</w:t>
      </w:r>
      <w:r w:rsidRPr="003F6306">
        <w:rPr>
          <w:spacing w:val="-3"/>
        </w:rPr>
        <w:t xml:space="preserve"> </w:t>
      </w:r>
      <w:r w:rsidRPr="003F6306">
        <w:t>state</w:t>
      </w:r>
    </w:p>
    <w:p w:rsidR="007A01BD" w:rsidRPr="003F6306" w:rsidRDefault="00F82531" w:rsidP="001B1926">
      <w:pPr>
        <w:pStyle w:val="Bullets"/>
      </w:pPr>
      <w:r w:rsidRPr="003F6306">
        <w:t>published a range of information</w:t>
      </w:r>
      <w:r w:rsidRPr="003F6306">
        <w:rPr>
          <w:spacing w:val="17"/>
        </w:rPr>
        <w:t xml:space="preserve"> </w:t>
      </w:r>
      <w:r w:rsidRPr="003F6306">
        <w:t>material</w:t>
      </w:r>
    </w:p>
    <w:p w:rsidR="007A01BD" w:rsidRPr="003F6306" w:rsidRDefault="00F82531" w:rsidP="001B1926">
      <w:pPr>
        <w:pStyle w:val="Bullets"/>
      </w:pPr>
      <w:r w:rsidRPr="003F6306">
        <w:t>funded training partnerships with community-based peak</w:t>
      </w:r>
      <w:r w:rsidRPr="003F6306">
        <w:rPr>
          <w:spacing w:val="21"/>
        </w:rPr>
        <w:t xml:space="preserve"> </w:t>
      </w:r>
      <w:r w:rsidRPr="003F6306">
        <w:t>bodies</w:t>
      </w:r>
    </w:p>
    <w:p w:rsidR="007A01BD" w:rsidRPr="003F6306" w:rsidRDefault="00F82531" w:rsidP="001B1926">
      <w:pPr>
        <w:pStyle w:val="Bullets"/>
      </w:pPr>
      <w:r w:rsidRPr="003F6306">
        <w:t>developed a new website.</w:t>
      </w:r>
    </w:p>
    <w:p w:rsidR="007A01BD" w:rsidRPr="003F6306" w:rsidRDefault="00F82531" w:rsidP="001B1926">
      <w:r w:rsidRPr="003F6306">
        <w:t>We joined other regulators and peak bodies to reach as many relevant businesses and</w:t>
      </w:r>
      <w:r w:rsidR="001B1926">
        <w:t xml:space="preserve"> </w:t>
      </w:r>
      <w:r w:rsidRPr="003F6306">
        <w:t>organisations about the standards as possible.</w:t>
      </w:r>
    </w:p>
    <w:p w:rsidR="007A01BD" w:rsidRPr="003F6306" w:rsidRDefault="00F82531" w:rsidP="001B1926">
      <w:pPr>
        <w:pStyle w:val="Heading3"/>
      </w:pPr>
      <w:r w:rsidRPr="003F6306">
        <w:t>Getting our message out there</w:t>
      </w:r>
    </w:p>
    <w:p w:rsidR="001B1926" w:rsidRDefault="00F82531" w:rsidP="001B1926">
      <w:r w:rsidRPr="003F6306">
        <w:rPr>
          <w:spacing w:val="-3"/>
        </w:rPr>
        <w:t xml:space="preserve">We </w:t>
      </w:r>
      <w:r w:rsidRPr="003F6306">
        <w:t xml:space="preserve">launched a three-month digital campaign in September </w:t>
      </w:r>
      <w:r w:rsidRPr="003F6306">
        <w:rPr>
          <w:spacing w:val="-4"/>
        </w:rPr>
        <w:t xml:space="preserve">2016, </w:t>
      </w:r>
      <w:r w:rsidRPr="003F6306">
        <w:t>raising public awareness, alerting organisations to the need to meet the Child Safe Standards and informing people about available support from the Commission. The digital campaign aimed to get as broad a reach as</w:t>
      </w:r>
      <w:r w:rsidRPr="003F6306">
        <w:rPr>
          <w:spacing w:val="10"/>
        </w:rPr>
        <w:t xml:space="preserve"> </w:t>
      </w:r>
      <w:r w:rsidRPr="003F6306">
        <w:t>possible.</w:t>
      </w:r>
    </w:p>
    <w:p w:rsidR="007A01BD" w:rsidRPr="003F6306" w:rsidRDefault="00F82531" w:rsidP="001B1926">
      <w:r w:rsidRPr="003F6306">
        <w:t>From mid-July 2016 we emailed over 14,000 entities and peak-body organisations about the standards, and the support available to raise awareness, promote our new site and highlight educational activities. Web traffic increased</w:t>
      </w:r>
      <w:r w:rsidR="001B1926">
        <w:t xml:space="preserve"> </w:t>
      </w:r>
      <w:r w:rsidRPr="003F6306">
        <w:t>as a result, making our site the key source for information and resources about the standards.</w:t>
      </w:r>
    </w:p>
    <w:p w:rsidR="007A01BD" w:rsidRPr="003F6306" w:rsidRDefault="00F82531" w:rsidP="001B1926">
      <w:pPr>
        <w:pStyle w:val="Heading3"/>
      </w:pPr>
      <w:r w:rsidRPr="003F6306">
        <w:lastRenderedPageBreak/>
        <w:t>Our new website</w:t>
      </w:r>
    </w:p>
    <w:p w:rsidR="007A01BD" w:rsidRPr="003F6306" w:rsidRDefault="00F82531" w:rsidP="001B1926">
      <w:r w:rsidRPr="003F6306">
        <w:t>We completely redeveloped our website to help us educate organisations about the Child Safe Standards and to allow organisations and the public to make notifications to the Reportable Conduct Scheme.</w:t>
      </w:r>
    </w:p>
    <w:p w:rsidR="007A01BD" w:rsidRPr="003F6306" w:rsidRDefault="00F82531" w:rsidP="00A97767">
      <w:r w:rsidRPr="003F6306">
        <w:t xml:space="preserve">Our new site, launched in May 2017, houses all the resources we have created for organisations including fact sheets, videos, frequently-asked questions and our </w:t>
      </w:r>
      <w:r w:rsidRPr="003F6306">
        <w:rPr>
          <w:i/>
        </w:rPr>
        <w:t>Guide to Creating a Child- safe Organisation</w:t>
      </w:r>
      <w:r w:rsidRPr="003F6306">
        <w:t>.</w:t>
      </w:r>
    </w:p>
    <w:p w:rsidR="007A01BD" w:rsidRPr="003F6306" w:rsidRDefault="00F82531" w:rsidP="001B1926">
      <w:r w:rsidRPr="003F6306">
        <w:t>The website also covers information about our powers, inquiries, submissions, monitoring work and media releases.</w:t>
      </w:r>
    </w:p>
    <w:p w:rsidR="007A01BD" w:rsidRPr="003F6306" w:rsidRDefault="00F82531" w:rsidP="001B1926">
      <w:pPr>
        <w:pStyle w:val="Heading3"/>
      </w:pPr>
      <w:r w:rsidRPr="001B1926">
        <w:t>Education</w:t>
      </w:r>
      <w:r w:rsidRPr="003F6306">
        <w:t xml:space="preserve"> activities</w:t>
      </w:r>
    </w:p>
    <w:p w:rsidR="007A01BD" w:rsidRPr="003F6306" w:rsidRDefault="00F82531" w:rsidP="001B1926">
      <w:pPr>
        <w:pStyle w:val="Heading4"/>
      </w:pPr>
      <w:r w:rsidRPr="003F6306">
        <w:t>Information sessions</w:t>
      </w:r>
    </w:p>
    <w:p w:rsidR="007A01BD" w:rsidRPr="003F6306" w:rsidRDefault="00F82531" w:rsidP="001B1926">
      <w:r w:rsidRPr="003F6306">
        <w:t>In the lead up to the introduction of the standards, we conducted 23 information sessions across metropolitan Melbourne and six cities in regional Victoria. These were attended by almost 800 representatives from in-scope organisations and businesses, government departments, peak body organisations and</w:t>
      </w:r>
      <w:r w:rsidR="001B1926">
        <w:t xml:space="preserve"> </w:t>
      </w:r>
      <w:r w:rsidRPr="003F6306">
        <w:t>local councils.</w:t>
      </w:r>
    </w:p>
    <w:p w:rsidR="007A01BD" w:rsidRPr="003F6306" w:rsidRDefault="00F82531" w:rsidP="001B1926">
      <w:r w:rsidRPr="003F6306">
        <w:t>The sessions covered an overview of the standards, strategies to create a child-safe organisation and the compliance requirements for organisations. The sessions were a valuable tool to raise awareness of the standards, and to understand organisations’ support needs and common questions. Feedback from the sessions is helping us to further develop our education and communication efforts in the</w:t>
      </w:r>
      <w:r w:rsidRPr="003F6306">
        <w:rPr>
          <w:spacing w:val="17"/>
        </w:rPr>
        <w:t xml:space="preserve"> </w:t>
      </w:r>
      <w:r w:rsidRPr="003F6306">
        <w:t>future.</w:t>
      </w:r>
    </w:p>
    <w:p w:rsidR="007A01BD" w:rsidRPr="003F6306" w:rsidRDefault="00F82531" w:rsidP="001B1926">
      <w:pPr>
        <w:pStyle w:val="Heading4"/>
      </w:pPr>
      <w:r w:rsidRPr="003F6306">
        <w:t>Training partners</w:t>
      </w:r>
    </w:p>
    <w:p w:rsidR="007A01BD" w:rsidRPr="003F6306" w:rsidRDefault="00F82531" w:rsidP="001B1926">
      <w:r w:rsidRPr="003F6306">
        <w:t>As well as our own information sessions, we commissioned sector-specific education and awareness programs. These were developed and delivered under our guidance by the following peak bodies:</w:t>
      </w:r>
    </w:p>
    <w:p w:rsidR="007A01BD" w:rsidRPr="003F6306" w:rsidRDefault="00F82531" w:rsidP="001B1926">
      <w:pPr>
        <w:pStyle w:val="Bullets"/>
      </w:pPr>
      <w:r w:rsidRPr="003F6306">
        <w:t>Australian Nanny</w:t>
      </w:r>
      <w:r w:rsidRPr="003F6306">
        <w:rPr>
          <w:spacing w:val="17"/>
        </w:rPr>
        <w:t xml:space="preserve"> </w:t>
      </w:r>
      <w:r w:rsidRPr="003F6306">
        <w:t>Association</w:t>
      </w:r>
    </w:p>
    <w:p w:rsidR="007A01BD" w:rsidRPr="003F6306" w:rsidRDefault="00F82531" w:rsidP="001B1926">
      <w:pPr>
        <w:pStyle w:val="Bullets"/>
      </w:pPr>
      <w:r w:rsidRPr="003F6306">
        <w:t xml:space="preserve">Australian </w:t>
      </w:r>
      <w:r w:rsidRPr="003F6306">
        <w:rPr>
          <w:spacing w:val="-3"/>
        </w:rPr>
        <w:t>Tutoring</w:t>
      </w:r>
      <w:r w:rsidRPr="003F6306">
        <w:rPr>
          <w:spacing w:val="26"/>
        </w:rPr>
        <w:t xml:space="preserve"> </w:t>
      </w:r>
      <w:r w:rsidRPr="003F6306">
        <w:t>Association</w:t>
      </w:r>
    </w:p>
    <w:p w:rsidR="007A01BD" w:rsidRPr="003F6306" w:rsidRDefault="00F82531" w:rsidP="001B1926">
      <w:pPr>
        <w:pStyle w:val="Bullets"/>
      </w:pPr>
      <w:r w:rsidRPr="003F6306">
        <w:t>Centre for Excellence in Child and Family</w:t>
      </w:r>
      <w:r w:rsidRPr="003F6306">
        <w:rPr>
          <w:spacing w:val="-3"/>
        </w:rPr>
        <w:t xml:space="preserve"> </w:t>
      </w:r>
      <w:r w:rsidRPr="003F6306">
        <w:t>Welfare</w:t>
      </w:r>
    </w:p>
    <w:p w:rsidR="007A01BD" w:rsidRPr="003F6306" w:rsidRDefault="00F82531" w:rsidP="001B1926">
      <w:pPr>
        <w:pStyle w:val="Bullets"/>
      </w:pPr>
      <w:r w:rsidRPr="003F6306">
        <w:t>Our</w:t>
      </w:r>
      <w:r w:rsidRPr="003F6306">
        <w:rPr>
          <w:spacing w:val="10"/>
        </w:rPr>
        <w:t xml:space="preserve"> </w:t>
      </w:r>
      <w:r w:rsidRPr="003F6306">
        <w:t>Community</w:t>
      </w:r>
    </w:p>
    <w:p w:rsidR="007A01BD" w:rsidRPr="003F6306" w:rsidRDefault="00F82531" w:rsidP="001B1926">
      <w:pPr>
        <w:pStyle w:val="Bullets"/>
      </w:pPr>
      <w:r w:rsidRPr="003F6306">
        <w:t>Victorian Aboriginal Child Care Agency (VACCA)</w:t>
      </w:r>
    </w:p>
    <w:p w:rsidR="007A01BD" w:rsidRPr="003F6306" w:rsidRDefault="00F82531" w:rsidP="001B1926">
      <w:pPr>
        <w:pStyle w:val="Bullets"/>
      </w:pPr>
      <w:r w:rsidRPr="003F6306">
        <w:t>Victorian Council of</w:t>
      </w:r>
      <w:r w:rsidRPr="003F6306">
        <w:rPr>
          <w:spacing w:val="15"/>
        </w:rPr>
        <w:t xml:space="preserve"> </w:t>
      </w:r>
      <w:r w:rsidRPr="003F6306">
        <w:t>Churches</w:t>
      </w:r>
    </w:p>
    <w:p w:rsidR="00E02A7B" w:rsidRDefault="00F82531" w:rsidP="001B1926">
      <w:pPr>
        <w:pStyle w:val="Bullets"/>
      </w:pPr>
      <w:r w:rsidRPr="003F6306">
        <w:t>VicSport</w:t>
      </w:r>
    </w:p>
    <w:p w:rsidR="007A01BD" w:rsidRPr="003F6306" w:rsidRDefault="00E02A7B" w:rsidP="001B1926">
      <w:pPr>
        <w:pStyle w:val="Bullets"/>
      </w:pPr>
      <w:r>
        <w:t>VICSEG New Futures</w:t>
      </w:r>
      <w:bookmarkStart w:id="75" w:name="_GoBack"/>
      <w:bookmarkEnd w:id="75"/>
      <w:r w:rsidR="00F82531" w:rsidRPr="003F6306">
        <w:t>.</w:t>
      </w:r>
    </w:p>
    <w:p w:rsidR="007A01BD" w:rsidRPr="003F6306" w:rsidRDefault="00F82531" w:rsidP="001B1926">
      <w:r w:rsidRPr="003F6306">
        <w:t>These training partners allowed us to reach more than 2,000 organisations through a range of materials:</w:t>
      </w:r>
    </w:p>
    <w:p w:rsidR="007A01BD" w:rsidRPr="003F6306" w:rsidRDefault="00F82531" w:rsidP="001B1926">
      <w:pPr>
        <w:pStyle w:val="Bullets"/>
      </w:pPr>
      <w:r w:rsidRPr="003F6306">
        <w:t>online resources, such as training modules, webinars, videos and social media discussion</w:t>
      </w:r>
      <w:r w:rsidRPr="003F6306">
        <w:rPr>
          <w:spacing w:val="12"/>
        </w:rPr>
        <w:t xml:space="preserve"> </w:t>
      </w:r>
      <w:r w:rsidRPr="003F6306">
        <w:t>groups</w:t>
      </w:r>
    </w:p>
    <w:p w:rsidR="007A01BD" w:rsidRPr="003F6306" w:rsidRDefault="00F82531" w:rsidP="001B1926">
      <w:pPr>
        <w:pStyle w:val="Bullets"/>
      </w:pPr>
      <w:r w:rsidRPr="003F6306">
        <w:t>statewide face-to-face training, including information sessions, train-the-trainer courses, and</w:t>
      </w:r>
      <w:r w:rsidRPr="003F6306">
        <w:rPr>
          <w:spacing w:val="15"/>
        </w:rPr>
        <w:t xml:space="preserve"> </w:t>
      </w:r>
      <w:r w:rsidRPr="003F6306">
        <w:t>workshops</w:t>
      </w:r>
    </w:p>
    <w:p w:rsidR="007A01BD" w:rsidRPr="003F6306" w:rsidRDefault="00F82531" w:rsidP="001B1926">
      <w:pPr>
        <w:pStyle w:val="Bullets"/>
      </w:pPr>
      <w:r w:rsidRPr="003F6306">
        <w:t>resources such as newsletters, information packs, sample presentations, policy templates, risk assessment guides, posters, fact sheets and case</w:t>
      </w:r>
      <w:r w:rsidRPr="003F6306">
        <w:rPr>
          <w:spacing w:val="18"/>
        </w:rPr>
        <w:t xml:space="preserve"> </w:t>
      </w:r>
      <w:r w:rsidRPr="003F6306">
        <w:t>studies.</w:t>
      </w:r>
    </w:p>
    <w:p w:rsidR="007A01BD" w:rsidRPr="003F6306" w:rsidRDefault="00F82531" w:rsidP="001B1926">
      <w:pPr>
        <w:pStyle w:val="Heading4"/>
      </w:pPr>
      <w:r w:rsidRPr="003F6306">
        <w:t>Resources</w:t>
      </w:r>
    </w:p>
    <w:p w:rsidR="007A01BD" w:rsidRPr="003F6306" w:rsidRDefault="00F82531" w:rsidP="001B1926">
      <w:r w:rsidRPr="003F6306">
        <w:t>We developed a series of information sheets</w:t>
      </w:r>
      <w:r w:rsidR="001B1926">
        <w:t xml:space="preserve"> </w:t>
      </w:r>
      <w:r w:rsidRPr="003F6306">
        <w:t>for organisations on the principles that underpin the standards. We also developed some fact sheets for parents about what to look for in a child-safe organisation.</w:t>
      </w:r>
    </w:p>
    <w:p w:rsidR="007A01BD" w:rsidRPr="003F6306" w:rsidRDefault="00F82531" w:rsidP="001B1926">
      <w:r w:rsidRPr="003F6306">
        <w:lastRenderedPageBreak/>
        <w:t>We updated and reprinted our guide for creating a child-safe organisation, distributing more than 4,000 copies to organisations and businesses that need to comply with the standards.</w:t>
      </w:r>
    </w:p>
    <w:p w:rsidR="007A01BD" w:rsidRPr="003F6306" w:rsidRDefault="00F82531" w:rsidP="001B1926">
      <w:pPr>
        <w:pStyle w:val="Heading3"/>
      </w:pPr>
      <w:r w:rsidRPr="003F6306">
        <w:t>A dedicated enquiry line</w:t>
      </w:r>
    </w:p>
    <w:p w:rsidR="007A01BD" w:rsidRPr="003F6306" w:rsidRDefault="00F82531" w:rsidP="001B1926">
      <w:r w:rsidRPr="003F6306">
        <w:rPr>
          <w:spacing w:val="-3"/>
        </w:rPr>
        <w:t xml:space="preserve">We </w:t>
      </w:r>
      <w:r w:rsidRPr="003F6306">
        <w:t>fielded almost 1,000 queries via our dedicated telephone enquiry line from businesses and organisations seeking information and advice about the Child Safe Standards and Reportable Conduct Scheme. The enquiry line proved to be an invaluable source of information</w:t>
      </w:r>
      <w:r w:rsidRPr="003F6306">
        <w:rPr>
          <w:spacing w:val="11"/>
        </w:rPr>
        <w:t xml:space="preserve"> </w:t>
      </w:r>
      <w:r w:rsidRPr="003F6306">
        <w:t>and</w:t>
      </w:r>
      <w:r w:rsidR="00A97767">
        <w:t xml:space="preserve"> </w:t>
      </w:r>
      <w:r w:rsidRPr="003F6306">
        <w:t>assistance across a broad range of sectors, and was an important complement to our information sessions, training partnerships and broader communication.</w:t>
      </w:r>
    </w:p>
    <w:p w:rsidR="007A01BD" w:rsidRPr="003F6306" w:rsidRDefault="00F82531" w:rsidP="001B1926">
      <w:pPr>
        <w:pStyle w:val="Heading4"/>
      </w:pPr>
      <w:r w:rsidRPr="003F6306">
        <w:t>Learning from national and international experts</w:t>
      </w:r>
    </w:p>
    <w:p w:rsidR="007A01BD" w:rsidRPr="003F6306" w:rsidRDefault="00F82531" w:rsidP="001B1926">
      <w:r w:rsidRPr="003F6306">
        <w:t>In May 2017 we held two half-day seminars for peak bodies and regulators led by Dr Keith Kaufman,</w:t>
      </w:r>
      <w:r w:rsidR="001B1926">
        <w:t xml:space="preserve"> </w:t>
      </w:r>
      <w:r w:rsidRPr="003F6306">
        <w:t>a Psychology Professor from Portland State University.</w:t>
      </w:r>
    </w:p>
    <w:p w:rsidR="007A01BD" w:rsidRPr="003F6306" w:rsidRDefault="00F82531" w:rsidP="001B1926">
      <w:r w:rsidRPr="003F6306">
        <w:t xml:space="preserve">Dr Kaufman, author of the Royal Commission into Institutional Responses to Child Sexual Abuse research report </w:t>
      </w:r>
      <w:r w:rsidRPr="003F6306">
        <w:rPr>
          <w:rFonts w:ascii="HelveticaNeue-LightItalic"/>
          <w:i/>
        </w:rPr>
        <w:t>Risk profiles for institutional child sexual abuse</w:t>
      </w:r>
      <w:r w:rsidRPr="003F6306">
        <w:t>, took</w:t>
      </w:r>
      <w:r w:rsidR="001B1926">
        <w:t xml:space="preserve"> </w:t>
      </w:r>
      <w:r w:rsidRPr="003F6306">
        <w:t>co-regulators through the situational risk prevention approach to risk management. He also took peak bodies through different peer-to-peer models to enable community-based  organisations  to benefit from shared learning.</w:t>
      </w:r>
    </w:p>
    <w:p w:rsidR="007A01BD" w:rsidRPr="003F6306" w:rsidRDefault="00F82531" w:rsidP="001B1926">
      <w:r w:rsidRPr="003F6306">
        <w:t>The seminars included a session led by experts from Ombudsman NSW.</w:t>
      </w:r>
    </w:p>
    <w:p w:rsidR="007A01BD" w:rsidRPr="003F6306" w:rsidRDefault="00F82531" w:rsidP="001B1926">
      <w:r w:rsidRPr="003F6306">
        <w:t>Deputy Ombudsman Steve Kinmond and Assistant Ombudsman Juliana Demetrius shared their experiences and reflections about the NSW reportable conduct scheme, which has been operating for 17 years.</w:t>
      </w:r>
    </w:p>
    <w:p w:rsidR="007A01BD" w:rsidRPr="003F6306" w:rsidRDefault="00F82531" w:rsidP="001B1926">
      <w:pPr>
        <w:pStyle w:val="Heading2"/>
      </w:pPr>
      <w:bookmarkStart w:id="76" w:name="_Toc496019840"/>
      <w:r w:rsidRPr="003F6306">
        <w:t>Compliance activities</w:t>
      </w:r>
      <w:bookmarkEnd w:id="76"/>
    </w:p>
    <w:p w:rsidR="007A01BD" w:rsidRPr="003F6306" w:rsidRDefault="00F82531" w:rsidP="001B1926">
      <w:r w:rsidRPr="003F6306">
        <w:t>While we focused on educating organisations on the requirements of Child Safe Standards, we  also  conducted  some  compliance activities where we received information about compliance concerns.</w:t>
      </w:r>
    </w:p>
    <w:p w:rsidR="007A01BD" w:rsidRPr="003F6306" w:rsidRDefault="00F82531" w:rsidP="001B1926">
      <w:r w:rsidRPr="003F6306">
        <w:t xml:space="preserve">When community members raise concerns about an organisation’s compliance with the standards we usually make enquiries with the organisation </w:t>
      </w:r>
      <w:r w:rsidRPr="003F6306">
        <w:rPr>
          <w:spacing w:val="-5"/>
        </w:rPr>
        <w:t xml:space="preserve">or, </w:t>
      </w:r>
      <w:r w:rsidRPr="003F6306">
        <w:t>where relevant, work with the its regulator to assess whether the organisation is meeting the standards or on track to do so within a reasonable</w:t>
      </w:r>
      <w:r w:rsidRPr="003F6306">
        <w:rPr>
          <w:spacing w:val="8"/>
        </w:rPr>
        <w:t xml:space="preserve"> </w:t>
      </w:r>
      <w:r w:rsidRPr="003F6306">
        <w:t>time.</w:t>
      </w:r>
    </w:p>
    <w:p w:rsidR="001D0A95" w:rsidRDefault="00F82531" w:rsidP="001B1926">
      <w:r w:rsidRPr="003F6306">
        <w:t>In 2016–17 we conducted compliance activities for 12 organisations. Eight of those were conducted in collaboration with other</w:t>
      </w:r>
      <w:r w:rsidR="00A97767">
        <w:t xml:space="preserve"> </w:t>
      </w:r>
      <w:r w:rsidRPr="003F6306">
        <w:t>regulators. Tables 11 and 12 provide a summary of our compliance activities.</w:t>
      </w:r>
    </w:p>
    <w:p w:rsidR="001D0A95" w:rsidRDefault="001D0A95" w:rsidP="001D0A95">
      <w:r>
        <w:br w:type="page"/>
      </w:r>
    </w:p>
    <w:p w:rsidR="007A01BD" w:rsidRPr="003F6306" w:rsidRDefault="007A01BD" w:rsidP="001B1926"/>
    <w:p w:rsidR="007A01BD" w:rsidRPr="001B1926" w:rsidRDefault="001D0A95" w:rsidP="001D0A95">
      <w:pPr>
        <w:pStyle w:val="Caption"/>
      </w:pPr>
      <w:bookmarkStart w:id="77" w:name="_Toc496019889"/>
      <w:r>
        <w:t xml:space="preserve">Table </w:t>
      </w:r>
      <w:r>
        <w:fldChar w:fldCharType="begin"/>
      </w:r>
      <w:r>
        <w:instrText xml:space="preserve"> SEQ Table \* ARABIC </w:instrText>
      </w:r>
      <w:r>
        <w:fldChar w:fldCharType="separate"/>
      </w:r>
      <w:r w:rsidR="00DF01C3">
        <w:rPr>
          <w:noProof/>
        </w:rPr>
        <w:t>11</w:t>
      </w:r>
      <w:r>
        <w:fldChar w:fldCharType="end"/>
      </w:r>
      <w:r>
        <w:t xml:space="preserve"> </w:t>
      </w:r>
      <w:r w:rsidRPr="00132067">
        <w:t>Non-compliance concerns status as at 30 June 2017</w:t>
      </w:r>
      <w:bookmarkEnd w:id="77"/>
    </w:p>
    <w:tbl>
      <w:tblPr>
        <w:tblStyle w:val="LightList-Accent1"/>
        <w:tblW w:w="9800" w:type="dxa"/>
        <w:tblLayout w:type="fixed"/>
        <w:tblLook w:val="01E0" w:firstRow="1" w:lastRow="1" w:firstColumn="1" w:lastColumn="1" w:noHBand="0" w:noVBand="0"/>
      </w:tblPr>
      <w:tblGrid>
        <w:gridCol w:w="2249"/>
        <w:gridCol w:w="1539"/>
        <w:gridCol w:w="1988"/>
        <w:gridCol w:w="2837"/>
        <w:gridCol w:w="951"/>
        <w:gridCol w:w="236"/>
      </w:tblGrid>
      <w:tr w:rsidR="007A01BD" w:rsidRPr="00A97767" w:rsidTr="00A9776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F82531" w:rsidP="00A97767">
            <w:r w:rsidRPr="00A97767">
              <w:t>Sector</w:t>
            </w:r>
          </w:p>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F82531" w:rsidP="00A97767">
            <w:r w:rsidRPr="00A97767">
              <w:t>Cases opened</w:t>
            </w:r>
          </w:p>
        </w:tc>
        <w:tc>
          <w:tcPr>
            <w:tcW w:w="1988" w:type="dxa"/>
          </w:tcPr>
          <w:p w:rsidR="007A01BD" w:rsidRPr="00A97767" w:rsidRDefault="00F82531" w:rsidP="00A97767">
            <w:pPr>
              <w:cnfStyle w:val="100000000000" w:firstRow="1" w:lastRow="0" w:firstColumn="0" w:lastColumn="0" w:oddVBand="0" w:evenVBand="0" w:oddHBand="0" w:evenHBand="0" w:firstRowFirstColumn="0" w:firstRowLastColumn="0" w:lastRowFirstColumn="0" w:lastRowLastColumn="0"/>
            </w:pPr>
            <w:r w:rsidRPr="00A97767">
              <w:t>Referred to a relevant authority</w:t>
            </w: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Activities</w:t>
            </w:r>
            <w:r w:rsidRPr="00A97767">
              <w:tab/>
            </w:r>
          </w:p>
        </w:tc>
        <w:tc>
          <w:tcPr>
            <w:tcW w:w="951" w:type="dxa"/>
          </w:tcPr>
          <w:p w:rsidR="007A01BD" w:rsidRPr="00A97767" w:rsidRDefault="00A97767" w:rsidP="00A97767">
            <w:pPr>
              <w:cnfStyle w:val="100000000000" w:firstRow="1" w:lastRow="0" w:firstColumn="0" w:lastColumn="0" w:oddVBand="0" w:evenVBand="0" w:oddHBand="0" w:evenHBand="0" w:firstRowFirstColumn="0" w:firstRowLastColumn="0" w:lastRowFirstColumn="0" w:lastRowLastColumn="0"/>
            </w:pPr>
            <w:r w:rsidRPr="00A97767">
              <w:t xml:space="preserve">Cases </w:t>
            </w:r>
            <w:r w:rsidR="00F82531" w:rsidRPr="00A97767">
              <w:t>closed</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F82531" w:rsidP="00A97767">
            <w:r w:rsidRPr="00A97767">
              <w:t>Community – Disability</w:t>
            </w:r>
          </w:p>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F82531" w:rsidP="00A97767">
            <w:r w:rsidRPr="00A97767">
              <w:t>1</w:t>
            </w:r>
          </w:p>
        </w:tc>
        <w:tc>
          <w:tcPr>
            <w:tcW w:w="1988" w:type="dxa"/>
          </w:tcPr>
          <w:p w:rsidR="007A01BD" w:rsidRPr="00A97767" w:rsidRDefault="00F82531" w:rsidP="00A97767">
            <w:pPr>
              <w:cnfStyle w:val="000000100000" w:firstRow="0" w:lastRow="0" w:firstColumn="0" w:lastColumn="0" w:oddVBand="0" w:evenVBand="0" w:oddHBand="1" w:evenHBand="0" w:firstRowFirstColumn="0" w:firstRowLastColumn="0" w:lastRowFirstColumn="0" w:lastRowLastColumn="0"/>
            </w:pPr>
            <w:r w:rsidRPr="00A97767">
              <w:t>Yes – DHHS</w:t>
            </w: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Support to regulator</w:t>
            </w:r>
          </w:p>
        </w:tc>
        <w:tc>
          <w:tcPr>
            <w:tcW w:w="951" w:type="dxa"/>
          </w:tcPr>
          <w:p w:rsidR="007A01BD" w:rsidRPr="00A97767" w:rsidRDefault="00F82531" w:rsidP="00A97767">
            <w:pPr>
              <w:cnfStyle w:val="000000100000" w:firstRow="0" w:lastRow="0" w:firstColumn="0" w:lastColumn="0" w:oddVBand="0" w:evenVBand="0" w:oddHBand="1" w:evenHBand="0" w:firstRowFirstColumn="0" w:firstRowLastColumn="0" w:lastRowFirstColumn="0" w:lastRowLastColumn="0"/>
            </w:pPr>
            <w:r w:rsidRPr="00A97767">
              <w:t>0</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trHeight w:val="64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F82531" w:rsidP="00A97767">
            <w:r w:rsidRPr="00A97767">
              <w:t>Local government</w:t>
            </w:r>
          </w:p>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F82531" w:rsidP="00A97767">
            <w:r w:rsidRPr="00A97767">
              <w:t>1</w:t>
            </w:r>
          </w:p>
        </w:tc>
        <w:tc>
          <w:tcPr>
            <w:tcW w:w="1988" w:type="dxa"/>
          </w:tcPr>
          <w:p w:rsidR="007A01BD" w:rsidRPr="00A97767" w:rsidRDefault="00F82531" w:rsidP="00A97767">
            <w:pPr>
              <w:cnfStyle w:val="000000000000" w:firstRow="0" w:lastRow="0" w:firstColumn="0" w:lastColumn="0" w:oddVBand="0" w:evenVBand="0" w:oddHBand="0" w:evenHBand="0" w:firstRowFirstColumn="0" w:firstRowLastColumn="0" w:lastRowFirstColumn="0" w:lastRowLastColumn="0"/>
            </w:pPr>
            <w:r w:rsidRPr="00A97767">
              <w:t>Yes – DELWP</w:t>
            </w: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Support to regulator and entity</w:t>
            </w:r>
          </w:p>
        </w:tc>
        <w:tc>
          <w:tcPr>
            <w:tcW w:w="951" w:type="dxa"/>
          </w:tcPr>
          <w:p w:rsidR="007A01BD" w:rsidRPr="00A97767" w:rsidRDefault="00F82531" w:rsidP="00A97767">
            <w:pPr>
              <w:cnfStyle w:val="000000000000" w:firstRow="0" w:lastRow="0" w:firstColumn="0" w:lastColumn="0" w:oddVBand="0" w:evenVBand="0" w:oddHBand="0" w:evenHBand="0" w:firstRowFirstColumn="0" w:firstRowLastColumn="0" w:lastRowFirstColumn="0" w:lastRowLastColumn="0"/>
            </w:pPr>
            <w:r w:rsidRPr="00A97767">
              <w:t>1</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F82531" w:rsidP="00A97767">
            <w:r w:rsidRPr="00A97767">
              <w:t>Early childhood education</w:t>
            </w:r>
          </w:p>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F82531" w:rsidP="00A97767">
            <w:r w:rsidRPr="00A97767">
              <w:t>1</w:t>
            </w:r>
          </w:p>
        </w:tc>
        <w:tc>
          <w:tcPr>
            <w:tcW w:w="1988" w:type="dxa"/>
          </w:tcPr>
          <w:p w:rsidR="007A01BD" w:rsidRPr="00A97767" w:rsidRDefault="00F82531" w:rsidP="00A97767">
            <w:pPr>
              <w:cnfStyle w:val="000000100000" w:firstRow="0" w:lastRow="0" w:firstColumn="0" w:lastColumn="0" w:oddVBand="0" w:evenVBand="0" w:oddHBand="1" w:evenHBand="0" w:firstRowFirstColumn="0" w:firstRowLastColumn="0" w:lastRowFirstColumn="0" w:lastRowLastColumn="0"/>
            </w:pPr>
            <w:r w:rsidRPr="00A97767">
              <w:t>Yes – DET (QARD)</w:t>
            </w: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Regulator supported entity to achieve compliance</w:t>
            </w:r>
          </w:p>
        </w:tc>
        <w:tc>
          <w:tcPr>
            <w:tcW w:w="951" w:type="dxa"/>
          </w:tcPr>
          <w:p w:rsidR="007A01BD" w:rsidRPr="00A97767" w:rsidRDefault="00F82531" w:rsidP="00A97767">
            <w:pPr>
              <w:cnfStyle w:val="000000100000" w:firstRow="0" w:lastRow="0" w:firstColumn="0" w:lastColumn="0" w:oddVBand="0" w:evenVBand="0" w:oddHBand="1" w:evenHBand="0" w:firstRowFirstColumn="0" w:firstRowLastColumn="0" w:lastRowFirstColumn="0" w:lastRowLastColumn="0"/>
            </w:pPr>
            <w:r w:rsidRPr="00A97767">
              <w:t>1</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trHeight w:val="62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F82531" w:rsidP="00A97767">
            <w:r w:rsidRPr="00A97767">
              <w:t>Schools</w:t>
            </w:r>
          </w:p>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F82531" w:rsidP="00A97767">
            <w:r w:rsidRPr="00A97767">
              <w:t>4</w:t>
            </w:r>
          </w:p>
        </w:tc>
        <w:tc>
          <w:tcPr>
            <w:tcW w:w="1988" w:type="dxa"/>
          </w:tcPr>
          <w:p w:rsidR="007A01BD" w:rsidRPr="00A97767" w:rsidRDefault="00F82531" w:rsidP="00A97767">
            <w:pPr>
              <w:cnfStyle w:val="000000000000" w:firstRow="0" w:lastRow="0" w:firstColumn="0" w:lastColumn="0" w:oddVBand="0" w:evenVBand="0" w:oddHBand="0" w:evenHBand="0" w:firstRowFirstColumn="0" w:firstRowLastColumn="0" w:lastRowFirstColumn="0" w:lastRowLastColumn="0"/>
            </w:pPr>
            <w:r w:rsidRPr="00A97767">
              <w:t>Yes – VRQA</w:t>
            </w: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Regulator supported one entity to achieve compliance</w:t>
            </w:r>
          </w:p>
        </w:tc>
        <w:tc>
          <w:tcPr>
            <w:tcW w:w="951" w:type="dxa"/>
          </w:tcPr>
          <w:p w:rsidR="007A01BD" w:rsidRPr="00A97767" w:rsidRDefault="00F82531" w:rsidP="00A97767">
            <w:pPr>
              <w:cnfStyle w:val="000000000000" w:firstRow="0" w:lastRow="0" w:firstColumn="0" w:lastColumn="0" w:oddVBand="0" w:evenVBand="0" w:oddHBand="0" w:evenHBand="0" w:firstRowFirstColumn="0" w:firstRowLastColumn="0" w:lastRowFirstColumn="0" w:lastRowLastColumn="0"/>
            </w:pPr>
            <w:r w:rsidRPr="00A97767">
              <w:t>1</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7A01BD" w:rsidP="00A97767"/>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7A01BD" w:rsidP="00A97767"/>
        </w:tc>
        <w:tc>
          <w:tcPr>
            <w:tcW w:w="1988" w:type="dxa"/>
          </w:tcPr>
          <w:p w:rsidR="007A01BD" w:rsidRPr="00A97767" w:rsidRDefault="007A01BD" w:rsidP="00A9776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Regulator currently assessing compliance in three entities</w:t>
            </w:r>
          </w:p>
        </w:tc>
        <w:tc>
          <w:tcPr>
            <w:tcW w:w="951" w:type="dxa"/>
          </w:tcPr>
          <w:p w:rsidR="007A01BD" w:rsidRPr="00A97767" w:rsidRDefault="007A01BD" w:rsidP="00A97767">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trHeight w:val="66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F82531" w:rsidP="00A97767">
            <w:r w:rsidRPr="00A97767">
              <w:t>Government</w:t>
            </w:r>
          </w:p>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F82531" w:rsidP="00A97767">
            <w:r w:rsidRPr="00A97767">
              <w:t>2</w:t>
            </w:r>
          </w:p>
        </w:tc>
        <w:tc>
          <w:tcPr>
            <w:tcW w:w="1988" w:type="dxa"/>
          </w:tcPr>
          <w:p w:rsidR="007A01BD" w:rsidRPr="00A97767" w:rsidRDefault="00F82531" w:rsidP="00A97767">
            <w:pPr>
              <w:cnfStyle w:val="000000000000" w:firstRow="0" w:lastRow="0" w:firstColumn="0" w:lastColumn="0" w:oddVBand="0" w:evenVBand="0" w:oddHBand="0" w:evenHBand="0" w:firstRowFirstColumn="0" w:firstRowLastColumn="0" w:lastRowFirstColumn="0" w:lastRowLastColumn="0"/>
            </w:pPr>
            <w:r w:rsidRPr="00A97767">
              <w:t>No</w:t>
            </w: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Supported the development of action plans to achieve compliance</w:t>
            </w:r>
          </w:p>
        </w:tc>
        <w:tc>
          <w:tcPr>
            <w:tcW w:w="951" w:type="dxa"/>
          </w:tcPr>
          <w:p w:rsidR="007A01BD" w:rsidRPr="00A97767" w:rsidRDefault="00F82531" w:rsidP="00A97767">
            <w:pPr>
              <w:cnfStyle w:val="000000000000" w:firstRow="0" w:lastRow="0" w:firstColumn="0" w:lastColumn="0" w:oddVBand="0" w:evenVBand="0" w:oddHBand="0" w:evenHBand="0" w:firstRowFirstColumn="0" w:firstRowLastColumn="0" w:lastRowFirstColumn="0" w:lastRowLastColumn="0"/>
            </w:pPr>
            <w:r w:rsidRPr="00A97767">
              <w:t>0</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F82531" w:rsidP="00A97767">
            <w:r w:rsidRPr="00A97767">
              <w:t>Religious organisations</w:t>
            </w:r>
          </w:p>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F82531" w:rsidP="00A97767">
            <w:r w:rsidRPr="00A97767">
              <w:t>2</w:t>
            </w:r>
          </w:p>
        </w:tc>
        <w:tc>
          <w:tcPr>
            <w:tcW w:w="1988" w:type="dxa"/>
          </w:tcPr>
          <w:p w:rsidR="007A01BD" w:rsidRPr="00A97767" w:rsidRDefault="00F82531" w:rsidP="00A97767">
            <w:pPr>
              <w:cnfStyle w:val="000000100000" w:firstRow="0" w:lastRow="0" w:firstColumn="0" w:lastColumn="0" w:oddVBand="0" w:evenVBand="0" w:oddHBand="1" w:evenHBand="0" w:firstRowFirstColumn="0" w:firstRowLastColumn="0" w:lastRowFirstColumn="0" w:lastRowLastColumn="0"/>
            </w:pPr>
            <w:r w:rsidRPr="00A97767">
              <w:t>No</w:t>
            </w: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Supported one entity to develop action plan</w:t>
            </w:r>
          </w:p>
        </w:tc>
        <w:tc>
          <w:tcPr>
            <w:tcW w:w="951" w:type="dxa"/>
          </w:tcPr>
          <w:p w:rsidR="007A01BD" w:rsidRPr="00A97767" w:rsidRDefault="00F82531" w:rsidP="00A97767">
            <w:pPr>
              <w:cnfStyle w:val="000000100000" w:firstRow="0" w:lastRow="0" w:firstColumn="0" w:lastColumn="0" w:oddVBand="0" w:evenVBand="0" w:oddHBand="1" w:evenHBand="0" w:firstRowFirstColumn="0" w:firstRowLastColumn="0" w:lastRowFirstColumn="0" w:lastRowLastColumn="0"/>
            </w:pPr>
            <w:r w:rsidRPr="00A97767">
              <w:t>1</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trHeight w:val="58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7A01BD" w:rsidP="00A97767"/>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7A01BD" w:rsidP="00A97767"/>
        </w:tc>
        <w:tc>
          <w:tcPr>
            <w:tcW w:w="1988" w:type="dxa"/>
          </w:tcPr>
          <w:p w:rsidR="007A01BD" w:rsidRPr="00A97767" w:rsidRDefault="007A01BD" w:rsidP="00A97767">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Assessed one entity as exempt from standards under s.22(1)</w:t>
            </w:r>
          </w:p>
        </w:tc>
        <w:tc>
          <w:tcPr>
            <w:tcW w:w="951" w:type="dxa"/>
          </w:tcPr>
          <w:p w:rsidR="007A01BD" w:rsidRPr="00A97767" w:rsidRDefault="00F82531" w:rsidP="00A97767">
            <w:pPr>
              <w:cnfStyle w:val="000000000000" w:firstRow="0" w:lastRow="0" w:firstColumn="0" w:lastColumn="0" w:oddVBand="0" w:evenVBand="0" w:oddHBand="0" w:evenHBand="0" w:firstRowFirstColumn="0" w:firstRowLastColumn="0" w:lastRowFirstColumn="0" w:lastRowLastColumn="0"/>
            </w:pPr>
            <w:r w:rsidRPr="00A97767">
              <w:t>1</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r w:rsidR="007A01BD" w:rsidRPr="00A97767" w:rsidTr="00A97767">
        <w:trPr>
          <w:cnfStyle w:val="010000000000" w:firstRow="0" w:lastRow="1"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49" w:type="dxa"/>
          </w:tcPr>
          <w:p w:rsidR="007A01BD" w:rsidRPr="00A97767" w:rsidRDefault="00F82531" w:rsidP="00A97767">
            <w:r w:rsidRPr="00A97767">
              <w:t>Sports clubs</w:t>
            </w:r>
          </w:p>
        </w:tc>
        <w:tc>
          <w:tcPr>
            <w:cnfStyle w:val="000010000000" w:firstRow="0" w:lastRow="0" w:firstColumn="0" w:lastColumn="0" w:oddVBand="1" w:evenVBand="0" w:oddHBand="0" w:evenHBand="0" w:firstRowFirstColumn="0" w:firstRowLastColumn="0" w:lastRowFirstColumn="0" w:lastRowLastColumn="0"/>
            <w:tcW w:w="1539" w:type="dxa"/>
          </w:tcPr>
          <w:p w:rsidR="007A01BD" w:rsidRPr="00A97767" w:rsidRDefault="00F82531" w:rsidP="00A97767">
            <w:r w:rsidRPr="00A97767">
              <w:t>1</w:t>
            </w:r>
          </w:p>
        </w:tc>
        <w:tc>
          <w:tcPr>
            <w:tcW w:w="1988" w:type="dxa"/>
          </w:tcPr>
          <w:p w:rsidR="007A01BD" w:rsidRPr="00A97767" w:rsidRDefault="00F82531" w:rsidP="00A97767">
            <w:pPr>
              <w:cnfStyle w:val="010000000000" w:firstRow="0" w:lastRow="1" w:firstColumn="0" w:lastColumn="0" w:oddVBand="0" w:evenVBand="0" w:oddHBand="0" w:evenHBand="0" w:firstRowFirstColumn="0" w:firstRowLastColumn="0" w:lastRowFirstColumn="0" w:lastRowLastColumn="0"/>
            </w:pPr>
            <w:r w:rsidRPr="00A97767">
              <w:t>Yes – DHHS</w:t>
            </w:r>
          </w:p>
        </w:tc>
        <w:tc>
          <w:tcPr>
            <w:cnfStyle w:val="000010000000" w:firstRow="0" w:lastRow="0" w:firstColumn="0" w:lastColumn="0" w:oddVBand="1" w:evenVBand="0" w:oddHBand="0" w:evenHBand="0" w:firstRowFirstColumn="0" w:firstRowLastColumn="0" w:lastRowFirstColumn="0" w:lastRowLastColumn="0"/>
            <w:tcW w:w="2837" w:type="dxa"/>
          </w:tcPr>
          <w:p w:rsidR="007A01BD" w:rsidRPr="00A97767" w:rsidRDefault="00F82531" w:rsidP="00A97767">
            <w:r w:rsidRPr="00A97767">
              <w:t>Triage  assessment commenced</w:t>
            </w:r>
          </w:p>
        </w:tc>
        <w:tc>
          <w:tcPr>
            <w:tcW w:w="951" w:type="dxa"/>
          </w:tcPr>
          <w:p w:rsidR="007A01BD" w:rsidRPr="00A97767" w:rsidRDefault="00F82531" w:rsidP="00A97767">
            <w:pPr>
              <w:cnfStyle w:val="010000000000" w:firstRow="0" w:lastRow="1" w:firstColumn="0" w:lastColumn="0" w:oddVBand="0" w:evenVBand="0" w:oddHBand="0" w:evenHBand="0" w:firstRowFirstColumn="0" w:firstRowLastColumn="0" w:lastRowFirstColumn="0" w:lastRowLastColumn="0"/>
            </w:pPr>
            <w:r w:rsidRPr="00A97767">
              <w:t>0</w:t>
            </w:r>
          </w:p>
        </w:tc>
        <w:tc>
          <w:tcPr>
            <w:cnfStyle w:val="000100000000" w:firstRow="0" w:lastRow="0" w:firstColumn="0" w:lastColumn="1" w:oddVBand="0" w:evenVBand="0" w:oddHBand="0" w:evenHBand="0" w:firstRowFirstColumn="0" w:firstRowLastColumn="0" w:lastRowFirstColumn="0" w:lastRowLastColumn="0"/>
            <w:tcW w:w="236" w:type="dxa"/>
          </w:tcPr>
          <w:p w:rsidR="007A01BD" w:rsidRPr="00A97767" w:rsidRDefault="007A01BD" w:rsidP="00A97767"/>
        </w:tc>
      </w:tr>
    </w:tbl>
    <w:p w:rsidR="001D0A95" w:rsidRDefault="001D0A95" w:rsidP="001D0A95">
      <w:bookmarkStart w:id="78" w:name="_TOC_250002"/>
      <w:bookmarkEnd w:id="78"/>
    </w:p>
    <w:p w:rsidR="001D0A95" w:rsidRDefault="001D0A95" w:rsidP="001D0A95">
      <w:r>
        <w:br w:type="page"/>
      </w:r>
    </w:p>
    <w:p w:rsidR="001D0A95" w:rsidRDefault="001D0A95" w:rsidP="001D0A95">
      <w:pPr>
        <w:pStyle w:val="Caption"/>
      </w:pPr>
      <w:bookmarkStart w:id="79" w:name="_Toc496019890"/>
      <w:r>
        <w:lastRenderedPageBreak/>
        <w:t xml:space="preserve">Table </w:t>
      </w:r>
      <w:r>
        <w:fldChar w:fldCharType="begin"/>
      </w:r>
      <w:r>
        <w:instrText xml:space="preserve"> SEQ Table \* ARABIC </w:instrText>
      </w:r>
      <w:r>
        <w:fldChar w:fldCharType="separate"/>
      </w:r>
      <w:r w:rsidR="00DF01C3">
        <w:rPr>
          <w:noProof/>
        </w:rPr>
        <w:t>12</w:t>
      </w:r>
      <w:r>
        <w:fldChar w:fldCharType="end"/>
      </w:r>
      <w:r>
        <w:t xml:space="preserve"> Commission's Child Safe Standards compliance activities 1 January 2017 - 30 June 2017</w:t>
      </w:r>
      <w:bookmarkEnd w:id="79"/>
    </w:p>
    <w:tbl>
      <w:tblPr>
        <w:tblStyle w:val="LightList-Accent11"/>
        <w:tblW w:w="0" w:type="auto"/>
        <w:tblLook w:val="04A0" w:firstRow="1" w:lastRow="0" w:firstColumn="1" w:lastColumn="0" w:noHBand="0" w:noVBand="1"/>
      </w:tblPr>
      <w:tblGrid>
        <w:gridCol w:w="6771"/>
        <w:gridCol w:w="2471"/>
      </w:tblGrid>
      <w:tr w:rsidR="001D0A95" w:rsidRPr="00356F10" w:rsidTr="00F60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1D0A95" w:rsidRPr="00356F10" w:rsidRDefault="001D0A95" w:rsidP="00F601A7">
            <w:pPr>
              <w:rPr>
                <w:b w:val="0"/>
              </w:rPr>
            </w:pPr>
            <w:r w:rsidRPr="00356F10">
              <w:rPr>
                <w:b w:val="0"/>
              </w:rPr>
              <w:t>Compliance action</w:t>
            </w:r>
          </w:p>
        </w:tc>
        <w:tc>
          <w:tcPr>
            <w:tcW w:w="2471" w:type="dxa"/>
          </w:tcPr>
          <w:p w:rsidR="001D0A95" w:rsidRPr="00356F10" w:rsidRDefault="001D0A95" w:rsidP="00F601A7">
            <w:pPr>
              <w:cnfStyle w:val="100000000000" w:firstRow="1" w:lastRow="0" w:firstColumn="0" w:lastColumn="0" w:oddVBand="0" w:evenVBand="0" w:oddHBand="0" w:evenHBand="0" w:firstRowFirstColumn="0" w:firstRowLastColumn="0" w:lastRowFirstColumn="0" w:lastRowLastColumn="0"/>
              <w:rPr>
                <w:b w:val="0"/>
              </w:rPr>
            </w:pPr>
            <w:r w:rsidRPr="00356F10">
              <w:rPr>
                <w:b w:val="0"/>
              </w:rPr>
              <w:t>Number</w:t>
            </w:r>
          </w:p>
        </w:tc>
      </w:tr>
      <w:tr w:rsidR="001D0A95" w:rsidRPr="00356F10" w:rsidTr="00F60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1D0A95" w:rsidRPr="00356F10" w:rsidRDefault="001D0A95" w:rsidP="00F601A7">
            <w:r w:rsidRPr="00356F10">
              <w:t>The number of notices to produce issued by the Commission in the reporting period</w:t>
            </w:r>
          </w:p>
        </w:tc>
        <w:tc>
          <w:tcPr>
            <w:tcW w:w="2471" w:type="dxa"/>
          </w:tcPr>
          <w:p w:rsidR="001D0A95" w:rsidRPr="00356F10" w:rsidRDefault="001D0A95" w:rsidP="00F601A7">
            <w:pPr>
              <w:cnfStyle w:val="000000100000" w:firstRow="0" w:lastRow="0" w:firstColumn="0" w:lastColumn="0" w:oddVBand="0" w:evenVBand="0" w:oddHBand="1" w:evenHBand="0" w:firstRowFirstColumn="0" w:firstRowLastColumn="0" w:lastRowFirstColumn="0" w:lastRowLastColumn="0"/>
            </w:pPr>
            <w:r w:rsidRPr="00356F10">
              <w:t>0</w:t>
            </w:r>
          </w:p>
        </w:tc>
      </w:tr>
      <w:tr w:rsidR="001D0A95" w:rsidRPr="00356F10" w:rsidTr="00F601A7">
        <w:tc>
          <w:tcPr>
            <w:cnfStyle w:val="001000000000" w:firstRow="0" w:lastRow="0" w:firstColumn="1" w:lastColumn="0" w:oddVBand="0" w:evenVBand="0" w:oddHBand="0" w:evenHBand="0" w:firstRowFirstColumn="0" w:firstRowLastColumn="0" w:lastRowFirstColumn="0" w:lastRowLastColumn="0"/>
            <w:tcW w:w="6771" w:type="dxa"/>
          </w:tcPr>
          <w:p w:rsidR="001D0A95" w:rsidRPr="00356F10" w:rsidRDefault="001D0A95" w:rsidP="00F601A7">
            <w:r w:rsidRPr="00356F10">
              <w:t>The number of notices to comply issued by the Commission in the reporting period</w:t>
            </w:r>
          </w:p>
        </w:tc>
        <w:tc>
          <w:tcPr>
            <w:tcW w:w="2471" w:type="dxa"/>
          </w:tcPr>
          <w:p w:rsidR="001D0A95" w:rsidRPr="00356F10" w:rsidRDefault="001D0A95" w:rsidP="00F601A7">
            <w:pPr>
              <w:cnfStyle w:val="000000000000" w:firstRow="0" w:lastRow="0" w:firstColumn="0" w:lastColumn="0" w:oddVBand="0" w:evenVBand="0" w:oddHBand="0" w:evenHBand="0" w:firstRowFirstColumn="0" w:firstRowLastColumn="0" w:lastRowFirstColumn="0" w:lastRowLastColumn="0"/>
            </w:pPr>
            <w:r w:rsidRPr="00356F10">
              <w:t>0</w:t>
            </w:r>
          </w:p>
        </w:tc>
      </w:tr>
      <w:tr w:rsidR="001D0A95" w:rsidRPr="00356F10" w:rsidTr="00F60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1D0A95" w:rsidRPr="00356F10" w:rsidRDefault="001D0A95" w:rsidP="00F601A7">
            <w:r w:rsidRPr="00356F10">
              <w:t>The number of section 33 court declarations (did not comply with notice to produce) issued by the Commission in the reporting period</w:t>
            </w:r>
          </w:p>
        </w:tc>
        <w:tc>
          <w:tcPr>
            <w:tcW w:w="2471" w:type="dxa"/>
          </w:tcPr>
          <w:p w:rsidR="001D0A95" w:rsidRPr="00356F10" w:rsidRDefault="001D0A95" w:rsidP="00F601A7">
            <w:pPr>
              <w:cnfStyle w:val="000000100000" w:firstRow="0" w:lastRow="0" w:firstColumn="0" w:lastColumn="0" w:oddVBand="0" w:evenVBand="0" w:oddHBand="1" w:evenHBand="0" w:firstRowFirstColumn="0" w:firstRowLastColumn="0" w:lastRowFirstColumn="0" w:lastRowLastColumn="0"/>
            </w:pPr>
            <w:r w:rsidRPr="00356F10">
              <w:t>0</w:t>
            </w:r>
          </w:p>
        </w:tc>
      </w:tr>
      <w:tr w:rsidR="001D0A95" w:rsidRPr="00356F10" w:rsidTr="00F601A7">
        <w:tc>
          <w:tcPr>
            <w:cnfStyle w:val="001000000000" w:firstRow="0" w:lastRow="0" w:firstColumn="1" w:lastColumn="0" w:oddVBand="0" w:evenVBand="0" w:oddHBand="0" w:evenHBand="0" w:firstRowFirstColumn="0" w:firstRowLastColumn="0" w:lastRowFirstColumn="0" w:lastRowLastColumn="0"/>
            <w:tcW w:w="6771" w:type="dxa"/>
          </w:tcPr>
          <w:p w:rsidR="001D0A95" w:rsidRPr="00356F10" w:rsidRDefault="001D0A95" w:rsidP="00F601A7">
            <w:r w:rsidRPr="00356F10">
              <w:t>The number of section 33 court declarations (did not comply with notice to comply)</w:t>
            </w:r>
          </w:p>
        </w:tc>
        <w:tc>
          <w:tcPr>
            <w:tcW w:w="2471" w:type="dxa"/>
          </w:tcPr>
          <w:p w:rsidR="001D0A95" w:rsidRPr="00356F10" w:rsidRDefault="001D0A95" w:rsidP="00F601A7">
            <w:pPr>
              <w:cnfStyle w:val="000000000000" w:firstRow="0" w:lastRow="0" w:firstColumn="0" w:lastColumn="0" w:oddVBand="0" w:evenVBand="0" w:oddHBand="0" w:evenHBand="0" w:firstRowFirstColumn="0" w:firstRowLastColumn="0" w:lastRowFirstColumn="0" w:lastRowLastColumn="0"/>
            </w:pPr>
            <w:r w:rsidRPr="00356F10">
              <w:t>0</w:t>
            </w:r>
          </w:p>
        </w:tc>
      </w:tr>
      <w:tr w:rsidR="001D0A95" w:rsidRPr="00356F10" w:rsidTr="00F60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rsidR="001D0A95" w:rsidRPr="00356F10" w:rsidRDefault="001D0A95" w:rsidP="00F601A7">
            <w:r w:rsidRPr="00356F10">
              <w:t>The number of civil penalties for failure to comply with notice to produce</w:t>
            </w:r>
          </w:p>
        </w:tc>
        <w:tc>
          <w:tcPr>
            <w:tcW w:w="2471" w:type="dxa"/>
          </w:tcPr>
          <w:p w:rsidR="001D0A95" w:rsidRPr="00356F10" w:rsidRDefault="001D0A95" w:rsidP="00F601A7">
            <w:pPr>
              <w:cnfStyle w:val="000000100000" w:firstRow="0" w:lastRow="0" w:firstColumn="0" w:lastColumn="0" w:oddVBand="0" w:evenVBand="0" w:oddHBand="1" w:evenHBand="0" w:firstRowFirstColumn="0" w:firstRowLastColumn="0" w:lastRowFirstColumn="0" w:lastRowLastColumn="0"/>
            </w:pPr>
            <w:r w:rsidRPr="00356F10">
              <w:t>0</w:t>
            </w:r>
          </w:p>
        </w:tc>
      </w:tr>
      <w:tr w:rsidR="001D0A95" w:rsidRPr="00356F10" w:rsidTr="00F601A7">
        <w:tc>
          <w:tcPr>
            <w:cnfStyle w:val="001000000000" w:firstRow="0" w:lastRow="0" w:firstColumn="1" w:lastColumn="0" w:oddVBand="0" w:evenVBand="0" w:oddHBand="0" w:evenHBand="0" w:firstRowFirstColumn="0" w:firstRowLastColumn="0" w:lastRowFirstColumn="0" w:lastRowLastColumn="0"/>
            <w:tcW w:w="6771" w:type="dxa"/>
          </w:tcPr>
          <w:p w:rsidR="001D0A95" w:rsidRPr="00356F10" w:rsidRDefault="001D0A95" w:rsidP="00F601A7">
            <w:r w:rsidRPr="00356F10">
              <w:t>The number of civil penalties for failure to comply with notice to comply</w:t>
            </w:r>
          </w:p>
        </w:tc>
        <w:tc>
          <w:tcPr>
            <w:tcW w:w="2471" w:type="dxa"/>
          </w:tcPr>
          <w:p w:rsidR="001D0A95" w:rsidRPr="00356F10" w:rsidRDefault="001D0A95" w:rsidP="00F601A7">
            <w:pPr>
              <w:cnfStyle w:val="000000000000" w:firstRow="0" w:lastRow="0" w:firstColumn="0" w:lastColumn="0" w:oddVBand="0" w:evenVBand="0" w:oddHBand="0" w:evenHBand="0" w:firstRowFirstColumn="0" w:firstRowLastColumn="0" w:lastRowFirstColumn="0" w:lastRowLastColumn="0"/>
            </w:pPr>
            <w:r w:rsidRPr="00356F10">
              <w:t>0</w:t>
            </w:r>
          </w:p>
        </w:tc>
      </w:tr>
    </w:tbl>
    <w:p w:rsidR="001D0A95" w:rsidRDefault="001D0A95" w:rsidP="001D0A95"/>
    <w:p w:rsidR="007A01BD" w:rsidRPr="003F6306" w:rsidRDefault="00F82531" w:rsidP="001B1926">
      <w:pPr>
        <w:pStyle w:val="Heading2"/>
      </w:pPr>
      <w:bookmarkStart w:id="80" w:name="_Toc496019841"/>
      <w:r w:rsidRPr="001B1926">
        <w:t>Compliance</w:t>
      </w:r>
      <w:r w:rsidRPr="003F6306">
        <w:t xml:space="preserve"> and education activities by relevant authorities</w:t>
      </w:r>
      <w:bookmarkEnd w:id="80"/>
    </w:p>
    <w:p w:rsidR="007A01BD" w:rsidRPr="003F6306" w:rsidRDefault="00F82531" w:rsidP="001B1926">
      <w:r w:rsidRPr="003F6306">
        <w:t>Implementing the Child Safe Standards has been done in close partnership with ‘relevant authorities’, which are co-regulators, agencies and departments that fund or regulate organisations providing services and facilities to children and young people. Relevant authorities undertook a range of activities</w:t>
      </w:r>
      <w:r w:rsidR="001D0A95">
        <w:t xml:space="preserve"> </w:t>
      </w:r>
      <w:r w:rsidRPr="003F6306">
        <w:t>to promote the standards including training, promotional material, updated policies and compliance checks.</w:t>
      </w:r>
    </w:p>
    <w:p w:rsidR="007A01BD" w:rsidRPr="003F6306" w:rsidRDefault="00F82531" w:rsidP="001B1926">
      <w:r w:rsidRPr="003F6306">
        <w:t>This whole-of-government approach has allowed us to collectively reach a wide variety of sectors including education, health, youth justice, out-of-home care and sport.</w:t>
      </w:r>
    </w:p>
    <w:p w:rsidR="007A01BD" w:rsidRPr="003F6306" w:rsidRDefault="00F82531" w:rsidP="001B1926">
      <w:r w:rsidRPr="003F6306">
        <w:t>In 2016–17 we received reports from the following departments:</w:t>
      </w:r>
    </w:p>
    <w:p w:rsidR="007A01BD" w:rsidRPr="003F6306" w:rsidRDefault="00F82531" w:rsidP="001B1926">
      <w:pPr>
        <w:pStyle w:val="Bullets"/>
      </w:pPr>
      <w:r w:rsidRPr="003F6306">
        <w:t>Department of Health and Human</w:t>
      </w:r>
      <w:r w:rsidRPr="003F6306">
        <w:rPr>
          <w:spacing w:val="40"/>
        </w:rPr>
        <w:t xml:space="preserve"> </w:t>
      </w:r>
      <w:r w:rsidRPr="003F6306">
        <w:t>Services</w:t>
      </w:r>
    </w:p>
    <w:p w:rsidR="007A01BD" w:rsidRPr="003F6306" w:rsidRDefault="00F82531" w:rsidP="001B1926">
      <w:pPr>
        <w:pStyle w:val="Bullets"/>
      </w:pPr>
      <w:r w:rsidRPr="003F6306">
        <w:t>Department of Education and</w:t>
      </w:r>
      <w:r w:rsidRPr="003F6306">
        <w:rPr>
          <w:spacing w:val="7"/>
        </w:rPr>
        <w:t xml:space="preserve"> </w:t>
      </w:r>
      <w:r w:rsidRPr="003F6306">
        <w:t>Training</w:t>
      </w:r>
    </w:p>
    <w:p w:rsidR="007A01BD" w:rsidRPr="003F6306" w:rsidRDefault="00F82531" w:rsidP="001B1926">
      <w:pPr>
        <w:pStyle w:val="Bullets"/>
      </w:pPr>
      <w:r w:rsidRPr="003F6306">
        <w:t>Department of Justice and</w:t>
      </w:r>
      <w:r w:rsidRPr="003F6306">
        <w:rPr>
          <w:spacing w:val="27"/>
        </w:rPr>
        <w:t xml:space="preserve"> </w:t>
      </w:r>
      <w:r w:rsidRPr="003F6306">
        <w:t>Regulation</w:t>
      </w:r>
    </w:p>
    <w:p w:rsidR="007A01BD" w:rsidRPr="003F6306" w:rsidRDefault="00F82531" w:rsidP="001B1926">
      <w:pPr>
        <w:pStyle w:val="Bullets"/>
      </w:pPr>
      <w:r w:rsidRPr="003F6306">
        <w:t>Victorian Registration and Qualifications</w:t>
      </w:r>
      <w:r w:rsidRPr="003F6306">
        <w:rPr>
          <w:spacing w:val="18"/>
        </w:rPr>
        <w:t xml:space="preserve"> </w:t>
      </w:r>
      <w:r w:rsidRPr="003F6306">
        <w:t>Authority</w:t>
      </w:r>
    </w:p>
    <w:p w:rsidR="007A01BD" w:rsidRPr="003F6306" w:rsidRDefault="00F82531" w:rsidP="001B1926">
      <w:pPr>
        <w:pStyle w:val="Bullets"/>
      </w:pPr>
      <w:r w:rsidRPr="003F6306">
        <w:t>Department of Environment, Land, Water and</w:t>
      </w:r>
      <w:r w:rsidRPr="003F6306">
        <w:rPr>
          <w:spacing w:val="5"/>
        </w:rPr>
        <w:t xml:space="preserve"> </w:t>
      </w:r>
      <w:r w:rsidRPr="003F6306">
        <w:t>Planning</w:t>
      </w:r>
    </w:p>
    <w:p w:rsidR="007A01BD" w:rsidRPr="003F6306" w:rsidRDefault="00F82531" w:rsidP="001B1926">
      <w:pPr>
        <w:pStyle w:val="Bullets"/>
      </w:pPr>
      <w:r w:rsidRPr="003F6306">
        <w:t>Department of Economic Development, Jobs, Transport and</w:t>
      </w:r>
      <w:r w:rsidRPr="003F6306">
        <w:rPr>
          <w:spacing w:val="13"/>
        </w:rPr>
        <w:t xml:space="preserve"> </w:t>
      </w:r>
      <w:r w:rsidRPr="003F6306">
        <w:t>Resources.</w:t>
      </w:r>
    </w:p>
    <w:p w:rsidR="007A01BD" w:rsidRPr="003F6306" w:rsidRDefault="00F82531" w:rsidP="001B1926">
      <w:pPr>
        <w:pStyle w:val="Heading3"/>
      </w:pPr>
      <w:r w:rsidRPr="003F6306">
        <w:t>Department of Health and Human Services</w:t>
      </w:r>
    </w:p>
    <w:p w:rsidR="001B1926" w:rsidRDefault="00F82531" w:rsidP="001B1926">
      <w:r w:rsidRPr="003F6306">
        <w:t>DHHS has provided funding to peak bodies and other organisations to deliver workshops, presentations, and training sessions.</w:t>
      </w:r>
      <w:r w:rsidR="001B1926" w:rsidRPr="003F6306">
        <w:t xml:space="preserve"> </w:t>
      </w:r>
    </w:p>
    <w:p w:rsidR="007A01BD" w:rsidRPr="003F6306" w:rsidRDefault="00F82531" w:rsidP="001B1926">
      <w:r w:rsidRPr="003F6306">
        <w:t>Sporting associations received funding to support an industry forum, workshops and presentations. DHHS also provided assistance to sporting associations to develop a guide, and for policy</w:t>
      </w:r>
      <w:r w:rsidRPr="003F6306">
        <w:rPr>
          <w:spacing w:val="5"/>
        </w:rPr>
        <w:t xml:space="preserve"> </w:t>
      </w:r>
      <w:r w:rsidRPr="003F6306">
        <w:t>development.</w:t>
      </w:r>
    </w:p>
    <w:p w:rsidR="007A01BD" w:rsidRPr="003F6306" w:rsidRDefault="00F82531" w:rsidP="001B1926">
      <w:r w:rsidRPr="003F6306">
        <w:t xml:space="preserve">The standards became part of all Victorian health services’ objectives for </w:t>
      </w:r>
      <w:r w:rsidRPr="003F6306">
        <w:rPr>
          <w:spacing w:val="-7"/>
        </w:rPr>
        <w:t xml:space="preserve">2016–17, </w:t>
      </w:r>
      <w:r w:rsidRPr="003F6306">
        <w:t xml:space="preserve">with inclusion in both the Statement of Priorities and in </w:t>
      </w:r>
      <w:r w:rsidRPr="003F6306">
        <w:rPr>
          <w:i/>
        </w:rPr>
        <w:t>Healthcare that Counts</w:t>
      </w:r>
      <w:r w:rsidRPr="003F6306">
        <w:t>, a framework for improving health care to vulnerable</w:t>
      </w:r>
      <w:r w:rsidRPr="003F6306">
        <w:rPr>
          <w:spacing w:val="15"/>
        </w:rPr>
        <w:t xml:space="preserve"> </w:t>
      </w:r>
      <w:r w:rsidRPr="003F6306">
        <w:t>children.</w:t>
      </w:r>
    </w:p>
    <w:p w:rsidR="007A01BD" w:rsidRPr="003F6306" w:rsidRDefault="00F82531" w:rsidP="001B1926">
      <w:r w:rsidRPr="003F6306">
        <w:lastRenderedPageBreak/>
        <w:t>DHHS also put in place an awareness- building campaign, which included online information, posters and fact sheets. Articles about the standards appeared in several sector-specific newsletters.</w:t>
      </w:r>
    </w:p>
    <w:p w:rsidR="007A01BD" w:rsidRPr="003F6306" w:rsidRDefault="00F82531" w:rsidP="001B1926">
      <w:r w:rsidRPr="003F6306">
        <w:t>The department has developed its own internal action plan to support staff at all levels to access training in the standards, and compliance is part of funded organisations’ performance targets.</w:t>
      </w:r>
    </w:p>
    <w:p w:rsidR="007A01BD" w:rsidRPr="003F6306" w:rsidRDefault="00F82531" w:rsidP="001B1926">
      <w:r w:rsidRPr="003F6306">
        <w:t>DHHS conducted one intervention as a relevant authority.</w:t>
      </w:r>
    </w:p>
    <w:p w:rsidR="001B1926" w:rsidRDefault="00F82531" w:rsidP="001B1926">
      <w:pPr>
        <w:pStyle w:val="Heading3"/>
      </w:pPr>
      <w:r w:rsidRPr="003F6306">
        <w:t xml:space="preserve">Department of Justice and Regulation </w:t>
      </w:r>
    </w:p>
    <w:p w:rsidR="007A01BD" w:rsidRPr="003F6306" w:rsidRDefault="00F82531" w:rsidP="001B1926">
      <w:r w:rsidRPr="003F6306">
        <w:t>In 2016-17 DJR undertook a project to implement the processes and policies</w:t>
      </w:r>
      <w:r w:rsidR="001D0A95">
        <w:t xml:space="preserve"> </w:t>
      </w:r>
      <w:r w:rsidRPr="003F6306">
        <w:t>required to be compliant with the standards,</w:t>
      </w:r>
      <w:r w:rsidR="001D0A95">
        <w:t xml:space="preserve"> </w:t>
      </w:r>
      <w:r w:rsidRPr="003F6306">
        <w:t>and informed staff of their obligations. The department established a working group to develop and distribute information,</w:t>
      </w:r>
      <w:r w:rsidRPr="003F6306">
        <w:rPr>
          <w:spacing w:val="8"/>
        </w:rPr>
        <w:t xml:space="preserve"> </w:t>
      </w:r>
      <w:r w:rsidRPr="003F6306">
        <w:t>held</w:t>
      </w:r>
      <w:r w:rsidR="001D0A95">
        <w:t xml:space="preserve"> </w:t>
      </w:r>
      <w:r w:rsidRPr="003F6306">
        <w:t>presentations, produced brochures and sent direct communications to all staff.</w:t>
      </w:r>
    </w:p>
    <w:p w:rsidR="007A01BD" w:rsidRPr="003F6306" w:rsidRDefault="00F82531" w:rsidP="001B1926">
      <w:r w:rsidRPr="003F6306">
        <w:t>A risk management framework and compliance guide tailored to the department were developed, and an interim Child Safety Officer was appointed to oversee internal compliance with the standards.</w:t>
      </w:r>
    </w:p>
    <w:p w:rsidR="007A01BD" w:rsidRPr="003F6306" w:rsidRDefault="00F82531" w:rsidP="00D0626E">
      <w:r w:rsidRPr="003F6306">
        <w:t>The department worked with youth justice by holding presentations for senior staff and will continue to work with youth justice to ensure their compliance with the standards.</w:t>
      </w:r>
    </w:p>
    <w:p w:rsidR="00D0626E" w:rsidRDefault="00F82531" w:rsidP="001D0A95">
      <w:pPr>
        <w:pStyle w:val="Heading3"/>
      </w:pPr>
      <w:r w:rsidRPr="003F6306">
        <w:t xml:space="preserve">Department of Education and Training </w:t>
      </w:r>
    </w:p>
    <w:p w:rsidR="007A01BD" w:rsidRPr="003F6306" w:rsidRDefault="00F82531" w:rsidP="00D0626E">
      <w:r w:rsidRPr="003F6306">
        <w:t>DET tapped into the vast network of schools, training providers and early childhood services</w:t>
      </w:r>
      <w:r w:rsidR="00D0626E">
        <w:t xml:space="preserve"> </w:t>
      </w:r>
      <w:r w:rsidRPr="003F6306">
        <w:t>to ensure all these sectors were aware of their</w:t>
      </w:r>
      <w:r w:rsidR="00D0626E">
        <w:t xml:space="preserve"> </w:t>
      </w:r>
      <w:r w:rsidRPr="003F6306">
        <w:t>responsibilities under the standards.</w:t>
      </w:r>
    </w:p>
    <w:p w:rsidR="007A01BD" w:rsidRPr="003F6306" w:rsidRDefault="00F82531" w:rsidP="00D0626E">
      <w:r w:rsidRPr="003F6306">
        <w:t>To do this, it launched its web portal, PROTECT, which includes resources and guidance on how to implement the standards across early childhood services, schools and higher education. It reinforced this information through regular electronic communication, face-to-face meetings and articles in sector- targeted newsletters.</w:t>
      </w:r>
    </w:p>
    <w:p w:rsidR="007A01BD" w:rsidRPr="003F6306" w:rsidRDefault="00F82531" w:rsidP="00D0626E">
      <w:r w:rsidRPr="003F6306">
        <w:t>Regional department staff were trained in the Child Safe Standards to allow them to undertake compliance checks and provide support to schools in their areas throughout 2017. The department has also trained accredited external school reviewers.</w:t>
      </w:r>
    </w:p>
    <w:p w:rsidR="007A01BD" w:rsidRPr="003F6306" w:rsidRDefault="00F82531" w:rsidP="00D0626E">
      <w:r w:rsidRPr="003F6306">
        <w:t>Each government school in Victoria will now have their compliance with the standards assessed through the school review process, at least every four years. Early childhood services’ compliance is monitored through the Quality Assessment and Regulation Division (QARD).</w:t>
      </w:r>
    </w:p>
    <w:p w:rsidR="007A01BD" w:rsidRPr="003F6306" w:rsidRDefault="00F82531" w:rsidP="00D0626E">
      <w:pPr>
        <w:pStyle w:val="Heading3"/>
      </w:pPr>
      <w:r w:rsidRPr="003F6306">
        <w:t>Victorian Registration and Qualifications Authority</w:t>
      </w:r>
    </w:p>
    <w:p w:rsidR="007A01BD" w:rsidRDefault="00F82531" w:rsidP="00D0626E">
      <w:r w:rsidRPr="003F6306">
        <w:t>The Victorian Registration and Qualification Authority (VRQA) shares co-regulatory responsibility of Child Safe Standards with us. It promotes the standards and monitors</w:t>
      </w:r>
      <w:r w:rsidR="001D0A95">
        <w:t xml:space="preserve"> compliance across all schools, non-school senior secondary providers and overseas secondary student exchange organisations.</w:t>
      </w:r>
    </w:p>
    <w:p w:rsidR="001D0A95" w:rsidRDefault="001D0A95" w:rsidP="00D0626E">
      <w:r>
        <w:t>The VRQA added a range of materials to its website for organistaions it regulates including videos, a self-assessment tool for schools, tip sheets and other resources.</w:t>
      </w:r>
    </w:p>
    <w:p w:rsidR="001D0A95" w:rsidRPr="003F6306" w:rsidRDefault="001D0A95" w:rsidP="00D0626E">
      <w:r>
        <w:t>Between 1 January and 30 June 2017, the VRQA and its approved school review bodies conducted reviews of 156 school’s compliance with the standards. It conducted 21 registration activities, which included an assessment of compliance against the standards. It also conducted five investigations and handled 12 complaints. More information on these compliance activities can be found in the VRQA’s annual report.</w:t>
      </w:r>
    </w:p>
    <w:p w:rsidR="007A01BD" w:rsidRPr="003F6306" w:rsidRDefault="00F82531" w:rsidP="00D0626E">
      <w:pPr>
        <w:pStyle w:val="Heading3"/>
      </w:pPr>
      <w:r w:rsidRPr="003F6306">
        <w:lastRenderedPageBreak/>
        <w:t>Department of Environment, Land, Water and Planning</w:t>
      </w:r>
    </w:p>
    <w:p w:rsidR="007A01BD" w:rsidRPr="003F6306" w:rsidRDefault="00F82531" w:rsidP="00D0626E">
      <w:r w:rsidRPr="003F6306">
        <w:t>Department of Environment, Land, Water and Planning (DELWP) worked in partnership with us to ensure that knowledge and implementation  of the Child Safe Standards and the Reportable Conduct Scheme were communicated across the local government</w:t>
      </w:r>
      <w:r w:rsidRPr="003F6306">
        <w:rPr>
          <w:spacing w:val="-2"/>
        </w:rPr>
        <w:t xml:space="preserve"> </w:t>
      </w:r>
      <w:r w:rsidRPr="003F6306">
        <w:t>sector.</w:t>
      </w:r>
    </w:p>
    <w:p w:rsidR="007A01BD" w:rsidRPr="003F6306" w:rsidRDefault="00F82531" w:rsidP="00D0626E">
      <w:r w:rsidRPr="003F6306">
        <w:t xml:space="preserve">Local Government Victoria shared information with the sector through its regular </w:t>
      </w:r>
      <w:r w:rsidRPr="003F6306">
        <w:rPr>
          <w:i/>
        </w:rPr>
        <w:t xml:space="preserve">Thinking Local </w:t>
      </w:r>
      <w:r w:rsidRPr="003F6306">
        <w:t>newsletter, and worked with one shire to support putting in place new organisational systems and policies to implement the standards. In addition, DELWP held a well- attended information session for</w:t>
      </w:r>
      <w:r w:rsidRPr="003F6306">
        <w:rPr>
          <w:spacing w:val="28"/>
        </w:rPr>
        <w:t xml:space="preserve"> </w:t>
      </w:r>
      <w:r w:rsidRPr="003F6306">
        <w:t>Landcare,Catchment Management Authorities and other DELWP-funded volunteer groups.</w:t>
      </w:r>
    </w:p>
    <w:p w:rsidR="007A01BD" w:rsidRPr="003F6306" w:rsidRDefault="00F82531" w:rsidP="00D0626E">
      <w:pPr>
        <w:pStyle w:val="Heading3"/>
      </w:pPr>
      <w:r w:rsidRPr="003F6306">
        <w:t>Department of Economic Development, Jobs, Transport and Resources</w:t>
      </w:r>
    </w:p>
    <w:p w:rsidR="007A01BD" w:rsidRPr="003F6306" w:rsidRDefault="00F82531" w:rsidP="00D0626E">
      <w:r w:rsidRPr="003F6306">
        <w:t>The Department of Economic Development, Jobs, Transport and Resources (DEDJTR) engaged providers and services in sectors such as creative arts, agriculture, fisheries, and transport, as well as entities that employ children. To increase their knowledge of the standards, it held industry and stakeholder forums, information sessions, published web</w:t>
      </w:r>
      <w:r w:rsidR="00D0626E">
        <w:t xml:space="preserve"> </w:t>
      </w:r>
      <w:r w:rsidRPr="003F6306">
        <w:t>information, sent mail outs and incorporated the standards into staff training and policies.</w:t>
      </w:r>
    </w:p>
    <w:p w:rsidR="007A01BD" w:rsidRPr="003F6306" w:rsidRDefault="00F82531" w:rsidP="00D0626E">
      <w:r w:rsidRPr="003F6306">
        <w:t>State-owned creative institutions (Arts Centre Melbourne, Australian Centre for the Moving Image, Geelong Performing Arts Centre, Melbourne Recital Centre, Museums Victoria, National Gallery of Victoria and State Library of Victoria) participated in two creative industry forums. DEDJTR has ensured that these organisations have adopted the standardswith endorsement from their governing boards and are promoting them on their websites.</w:t>
      </w:r>
    </w:p>
    <w:p w:rsidR="007A01BD" w:rsidRPr="003F6306" w:rsidRDefault="00F82531" w:rsidP="00D0626E">
      <w:r w:rsidRPr="003F6306">
        <w:t>Altogether, these institutions provide education programs for almost 500,000 children in Victoria every year.</w:t>
      </w:r>
    </w:p>
    <w:p w:rsidR="007A01BD" w:rsidRPr="003F6306" w:rsidRDefault="00F82531" w:rsidP="00D0626E">
      <w:r w:rsidRPr="003F6306">
        <w:t>Organisations that employ children and young people received information through anemail campaign to all employers in its Child Employment permit database. DEDJTR also distributed information to this sector via peak bodies and published guidance about the standards on the business.vic.gov.au website.</w:t>
      </w:r>
    </w:p>
    <w:p w:rsidR="00D0626E" w:rsidRDefault="00F82531" w:rsidP="00D0626E">
      <w:r w:rsidRPr="003F6306">
        <w:t>Other sectors that were engaged to ensure they adopted the standards included fisheries, transport services and the Responsible Pet Ownership Education Program.</w:t>
      </w:r>
    </w:p>
    <w:p w:rsidR="007A01BD" w:rsidRPr="003F6306" w:rsidRDefault="00F82531" w:rsidP="00D0626E">
      <w:pPr>
        <w:pStyle w:val="Heading2"/>
      </w:pPr>
      <w:bookmarkStart w:id="81" w:name="_Toc496019842"/>
      <w:r w:rsidRPr="003F6306">
        <w:t>Reportable Conduct Scheme</w:t>
      </w:r>
      <w:bookmarkEnd w:id="81"/>
    </w:p>
    <w:p w:rsidR="007A01BD" w:rsidRPr="003F6306" w:rsidRDefault="00F82531" w:rsidP="00D0626E">
      <w:r w:rsidRPr="003F6306">
        <w:t>The Victorian Parliament passed further amendments to the Child Wellbeing and Safety Act in February 2017.</w:t>
      </w:r>
    </w:p>
    <w:p w:rsidR="007A01BD" w:rsidRPr="003F6306" w:rsidRDefault="00F82531" w:rsidP="00D0626E">
      <w:r w:rsidRPr="003F6306">
        <w:t>These amendments came into effect on 1 July 2017 and outline our oversight and monitoring role for the Reportable Conduct Scheme. The scheme will:</w:t>
      </w:r>
    </w:p>
    <w:p w:rsidR="007A01BD" w:rsidRPr="003F6306" w:rsidRDefault="00F82531" w:rsidP="00D0626E">
      <w:pPr>
        <w:pStyle w:val="Bullets"/>
      </w:pPr>
      <w:r w:rsidRPr="003F6306">
        <w:t>ensure organisations respond to allegations of child abuse (and other child-related misconduct) against their workers and volunteers, and notify us of any</w:t>
      </w:r>
      <w:r w:rsidRPr="003F6306">
        <w:rPr>
          <w:spacing w:val="18"/>
        </w:rPr>
        <w:t xml:space="preserve"> </w:t>
      </w:r>
      <w:r w:rsidRPr="003F6306">
        <w:t>allegations</w:t>
      </w:r>
    </w:p>
    <w:p w:rsidR="007A01BD" w:rsidRPr="003F6306" w:rsidRDefault="00F82531" w:rsidP="00D0626E">
      <w:pPr>
        <w:pStyle w:val="Bullets"/>
      </w:pPr>
      <w:r w:rsidRPr="003F6306">
        <w:t>allow us to independently oversee the organisation’s investigations and responses to these</w:t>
      </w:r>
      <w:r w:rsidRPr="003F6306">
        <w:rPr>
          <w:spacing w:val="7"/>
        </w:rPr>
        <w:t xml:space="preserve"> </w:t>
      </w:r>
      <w:r w:rsidRPr="003F6306">
        <w:t>allegations</w:t>
      </w:r>
    </w:p>
    <w:p w:rsidR="007A01BD" w:rsidRPr="003F6306" w:rsidRDefault="00F82531" w:rsidP="00D0626E">
      <w:pPr>
        <w:pStyle w:val="Bullets"/>
      </w:pPr>
      <w:r w:rsidRPr="003F6306">
        <w:t>make it easier to share information between organisations, their regulators, Victoria Police, the DJR’s Working With Children Check unit and the</w:t>
      </w:r>
      <w:r w:rsidRPr="003F6306">
        <w:rPr>
          <w:spacing w:val="13"/>
        </w:rPr>
        <w:t xml:space="preserve"> </w:t>
      </w:r>
      <w:r w:rsidRPr="003F6306">
        <w:t>Commission.</w:t>
      </w:r>
    </w:p>
    <w:p w:rsidR="007A01BD" w:rsidRPr="003F6306" w:rsidRDefault="00F82531" w:rsidP="00826DAE">
      <w:pPr>
        <w:pStyle w:val="Heading3"/>
      </w:pPr>
      <w:bookmarkStart w:id="82" w:name="_TOC_250000"/>
      <w:bookmarkEnd w:id="82"/>
      <w:r w:rsidRPr="003F6306">
        <w:t>Preparing for the scheme</w:t>
      </w:r>
    </w:p>
    <w:p w:rsidR="007A01BD" w:rsidRPr="003F6306" w:rsidRDefault="00F82531" w:rsidP="00D0626E">
      <w:r w:rsidRPr="003F6306">
        <w:t>Preparing for the scheme’s introduction was one of our proudest achievements of 2016–17. It involved ensuring that we had the right resources and systems in place to</w:t>
      </w:r>
      <w:r w:rsidR="00D0626E">
        <w:t xml:space="preserve"> </w:t>
      </w:r>
      <w:r w:rsidRPr="003F6306">
        <w:t>administer the scheme, and engaging with many organisations and regulators to ensure those</w:t>
      </w:r>
      <w:r w:rsidR="00D0626E">
        <w:t xml:space="preserve"> </w:t>
      </w:r>
      <w:r w:rsidRPr="003F6306">
        <w:t>in-scope were aware of their obligations.</w:t>
      </w:r>
    </w:p>
    <w:p w:rsidR="007A01BD" w:rsidRPr="003F6306" w:rsidRDefault="00F82531" w:rsidP="00826DAE">
      <w:pPr>
        <w:pStyle w:val="Heading4"/>
      </w:pPr>
      <w:r w:rsidRPr="003F6306">
        <w:lastRenderedPageBreak/>
        <w:t>Resourcing and systems</w:t>
      </w:r>
    </w:p>
    <w:p w:rsidR="007A01BD" w:rsidRPr="003F6306" w:rsidRDefault="00F82531" w:rsidP="00D0626E">
      <w:r w:rsidRPr="003F6306">
        <w:t>We built a case management system to ensure we can gather and act on allegations we receive. The system integrates with our newly-launched website so organisations and members of the public can notify us of allegations via a secure webform.</w:t>
      </w:r>
    </w:p>
    <w:p w:rsidR="007A01BD" w:rsidRPr="003F6306" w:rsidRDefault="00F82531" w:rsidP="00D0626E">
      <w:r w:rsidRPr="003F6306">
        <w:rPr>
          <w:spacing w:val="-3"/>
        </w:rPr>
        <w:t xml:space="preserve">We </w:t>
      </w:r>
      <w:r w:rsidRPr="003F6306">
        <w:t>also hired more staff to develop policies and procedures, educate organisations, raise awareness and manage cases. Our staff visited Ombudsman NSW to learn from their expertise in running a reportable conduct</w:t>
      </w:r>
      <w:r w:rsidRPr="003F6306">
        <w:rPr>
          <w:spacing w:val="30"/>
        </w:rPr>
        <w:t xml:space="preserve"> </w:t>
      </w:r>
      <w:r w:rsidRPr="003F6306">
        <w:t>scheme.</w:t>
      </w:r>
    </w:p>
    <w:p w:rsidR="007A01BD" w:rsidRPr="003F6306" w:rsidRDefault="00F82531" w:rsidP="00826DAE">
      <w:pPr>
        <w:pStyle w:val="Heading4"/>
      </w:pPr>
      <w:r w:rsidRPr="00D0626E">
        <w:t>Education</w:t>
      </w:r>
      <w:r w:rsidRPr="003F6306">
        <w:t xml:space="preserve"> and communication</w:t>
      </w:r>
    </w:p>
    <w:p w:rsidR="007A01BD" w:rsidRPr="00D0626E" w:rsidRDefault="00F82531" w:rsidP="00D0626E">
      <w:pPr>
        <w:rPr>
          <w:b/>
        </w:rPr>
      </w:pPr>
      <w:r w:rsidRPr="003F6306">
        <w:rPr>
          <w:spacing w:val="-3"/>
        </w:rPr>
        <w:t xml:space="preserve">We </w:t>
      </w:r>
      <w:r w:rsidRPr="003F6306">
        <w:t xml:space="preserve">published </w:t>
      </w:r>
      <w:r w:rsidRPr="00D0626E">
        <w:t>comprehensive information about the scheme’s scope and requirements on our new website. This included a series of information sheets, frequently asked questions and videos</w:t>
      </w:r>
      <w:r w:rsidRPr="00D0626E">
        <w:rPr>
          <w:b/>
        </w:rPr>
        <w:t>.</w:t>
      </w:r>
    </w:p>
    <w:p w:rsidR="007A01BD" w:rsidRPr="003F6306" w:rsidRDefault="00F82531" w:rsidP="00D0626E">
      <w:r w:rsidRPr="003F6306">
        <w:t>We partnered with other regulators and government departments to ensure that in-scope organisations across education, health and child protection services were prepared for the scheme. This included</w:t>
      </w:r>
      <w:r w:rsidR="00D0626E">
        <w:t xml:space="preserve"> </w:t>
      </w:r>
      <w:r w:rsidRPr="003F6306">
        <w:t>information sessions and content for internal communications channels.</w:t>
      </w:r>
    </w:p>
    <w:p w:rsidR="007A01BD" w:rsidRPr="003F6306" w:rsidRDefault="00F82531" w:rsidP="00826DAE">
      <w:pPr>
        <w:pStyle w:val="Heading4"/>
      </w:pPr>
      <w:r w:rsidRPr="003F6306">
        <w:t>Co-regulation</w:t>
      </w:r>
    </w:p>
    <w:p w:rsidR="007A01BD" w:rsidRPr="003F6306" w:rsidRDefault="00F82531" w:rsidP="00D0626E">
      <w:r w:rsidRPr="003F6306">
        <w:t>We worked closely with key stakeholders to develop operational relationships.</w:t>
      </w:r>
    </w:p>
    <w:p w:rsidR="00D0626E" w:rsidRDefault="00D0626E" w:rsidP="00826DAE">
      <w:r>
        <w:br w:type="page"/>
      </w:r>
    </w:p>
    <w:p w:rsidR="007A01BD" w:rsidRPr="003F6306" w:rsidRDefault="00F82531" w:rsidP="00D0626E">
      <w:pPr>
        <w:pStyle w:val="Heading1"/>
      </w:pPr>
      <w:bookmarkStart w:id="83" w:name="_Toc496019843"/>
      <w:r w:rsidRPr="003F6306">
        <w:lastRenderedPageBreak/>
        <w:t>Improving outcomes for Aboriginal children</w:t>
      </w:r>
      <w:bookmarkEnd w:id="83"/>
    </w:p>
    <w:p w:rsidR="007A01BD" w:rsidRPr="003F6306" w:rsidRDefault="00F82531" w:rsidP="00D0626E">
      <w:pPr>
        <w:pStyle w:val="Heading2"/>
      </w:pPr>
      <w:bookmarkStart w:id="84" w:name="_Toc496019844"/>
      <w:r w:rsidRPr="003F6306">
        <w:t>Overview</w:t>
      </w:r>
      <w:bookmarkEnd w:id="84"/>
    </w:p>
    <w:p w:rsidR="007A01BD" w:rsidRPr="003F6306" w:rsidRDefault="00F82531" w:rsidP="00D0626E">
      <w:r w:rsidRPr="003F6306">
        <w:rPr>
          <w:spacing w:val="-3"/>
        </w:rPr>
        <w:t xml:space="preserve">We  </w:t>
      </w:r>
      <w:r w:rsidRPr="003F6306">
        <w:t>work to ensure Aboriginal children, young people, their families and carers can access quality services that are inclusive and culturally</w:t>
      </w:r>
      <w:r w:rsidRPr="003F6306">
        <w:rPr>
          <w:spacing w:val="3"/>
        </w:rPr>
        <w:t xml:space="preserve"> </w:t>
      </w:r>
      <w:r w:rsidRPr="003F6306">
        <w:t>safe.</w:t>
      </w:r>
    </w:p>
    <w:p w:rsidR="007A01BD" w:rsidRPr="003F6306" w:rsidRDefault="00F82531" w:rsidP="00D0626E">
      <w:r w:rsidRPr="003F6306">
        <w:t>While most Aboriginal children and young people in Victoria thrive in culturally-rich and loving homes, many others are not experiencing the same positive outcomes from programs and services as other</w:t>
      </w:r>
      <w:r w:rsidRPr="003F6306">
        <w:rPr>
          <w:spacing w:val="25"/>
        </w:rPr>
        <w:t xml:space="preserve"> </w:t>
      </w:r>
      <w:r w:rsidRPr="003F6306">
        <w:t>Victorians.</w:t>
      </w:r>
    </w:p>
    <w:p w:rsidR="007A01BD" w:rsidRPr="003F6306" w:rsidRDefault="00F82531" w:rsidP="00D0626E">
      <w:r w:rsidRPr="003F6306">
        <w:t>Aboriginal children and young people continue to suffer from a legacy of disadvantage and trauma caused by past government policies and broader community attitudes. They are over-represented in our youth justice and out-of-home care systems</w:t>
      </w:r>
    </w:p>
    <w:p w:rsidR="007A01BD" w:rsidRPr="003F6306" w:rsidRDefault="00F82531" w:rsidP="00D0626E">
      <w:r w:rsidRPr="003F6306">
        <w:t>and under-represented in early years schooling and the broader economy. Their experiences within those systems has often been one that reinforces that disadvantage, by failing to maintain the vital cultural connections they need to grow up strong.</w:t>
      </w:r>
    </w:p>
    <w:p w:rsidR="007A01BD" w:rsidRPr="003F6306" w:rsidRDefault="00F82531" w:rsidP="00D0626E">
      <w:r w:rsidRPr="003F6306">
        <w:t>We connect daily with the community to advocate for Aboriginal children in Victoria, listen to their stories and the issues that affect them. We celebrate and support the good work that is being done by communities to determine the best way to care for their children and uphold their best interests.</w:t>
      </w:r>
    </w:p>
    <w:p w:rsidR="00D0626E" w:rsidRDefault="00F82531" w:rsidP="00D0626E">
      <w:r w:rsidRPr="003F6306">
        <w:t>We believe in leading by example and, to that effect, we are continuously building cultural capacity among our staff. Our Aboriginal Inclusion Action Plan (AIAP) reaches all areas of the Commission and promotes inclusion of and respect for Aboriginal and Torres Strait Islander people in everything we do.</w:t>
      </w:r>
    </w:p>
    <w:p w:rsidR="007A01BD" w:rsidRPr="003F6306" w:rsidRDefault="00F82531" w:rsidP="00D0626E">
      <w:pPr>
        <w:pStyle w:val="Heading2"/>
      </w:pPr>
      <w:bookmarkStart w:id="85" w:name="_Toc496019845"/>
      <w:r w:rsidRPr="003F6306">
        <w:t>Engagement work</w:t>
      </w:r>
      <w:bookmarkEnd w:id="85"/>
    </w:p>
    <w:p w:rsidR="007A01BD" w:rsidRPr="003F6306" w:rsidRDefault="00F82531" w:rsidP="00D0626E">
      <w:r w:rsidRPr="003F6306">
        <w:t>Our Koori Advisory and Engagement (KAE) unit works to:</w:t>
      </w:r>
    </w:p>
    <w:p w:rsidR="007A01BD" w:rsidRPr="003F6306" w:rsidRDefault="00F82531" w:rsidP="00D0626E">
      <w:pPr>
        <w:pStyle w:val="Bullets"/>
      </w:pPr>
      <w:r w:rsidRPr="003F6306">
        <w:t>engage with the Koori community in Victoria on issues that affect Koori children and young</w:t>
      </w:r>
      <w:r w:rsidRPr="003F6306">
        <w:rPr>
          <w:spacing w:val="5"/>
        </w:rPr>
        <w:t xml:space="preserve"> </w:t>
      </w:r>
      <w:r w:rsidRPr="003F6306">
        <w:t>people</w:t>
      </w:r>
    </w:p>
    <w:p w:rsidR="007A01BD" w:rsidRPr="003F6306" w:rsidRDefault="00F82531" w:rsidP="00D0626E">
      <w:pPr>
        <w:pStyle w:val="Bullets"/>
      </w:pPr>
      <w:r w:rsidRPr="003F6306">
        <w:t>monitor conditions for Koori children and young people in out-of-home care, and the child protection and the youth justice</w:t>
      </w:r>
      <w:r w:rsidRPr="003F6306">
        <w:rPr>
          <w:spacing w:val="1"/>
        </w:rPr>
        <w:t xml:space="preserve"> </w:t>
      </w:r>
      <w:r w:rsidRPr="003F6306">
        <w:t>systems</w:t>
      </w:r>
    </w:p>
    <w:p w:rsidR="007A01BD" w:rsidRPr="003F6306" w:rsidRDefault="00F82531" w:rsidP="00D0626E">
      <w:pPr>
        <w:pStyle w:val="Bullets"/>
      </w:pPr>
      <w:r w:rsidRPr="003F6306">
        <w:t>provide policy advice to government and conduct inquiries to improve services to Koori children and young</w:t>
      </w:r>
      <w:r w:rsidRPr="003F6306">
        <w:rPr>
          <w:spacing w:val="12"/>
        </w:rPr>
        <w:t xml:space="preserve"> </w:t>
      </w:r>
      <w:r w:rsidRPr="003F6306">
        <w:t>people</w:t>
      </w:r>
    </w:p>
    <w:p w:rsidR="007A01BD" w:rsidRPr="003F6306" w:rsidRDefault="00F82531" w:rsidP="00D0626E">
      <w:pPr>
        <w:pStyle w:val="Bullets"/>
      </w:pPr>
      <w:r w:rsidRPr="003F6306">
        <w:t>build cultural competency and provide cultural advice to the</w:t>
      </w:r>
      <w:r w:rsidRPr="00D0626E">
        <w:rPr>
          <w:spacing w:val="13"/>
        </w:rPr>
        <w:t xml:space="preserve"> </w:t>
      </w:r>
      <w:r w:rsidRPr="003F6306">
        <w:t>Commission</w:t>
      </w:r>
      <w:r w:rsidR="00D0626E">
        <w:t xml:space="preserve"> </w:t>
      </w:r>
      <w:r w:rsidRPr="003F6306">
        <w:t>as a whole.</w:t>
      </w:r>
    </w:p>
    <w:p w:rsidR="007A01BD" w:rsidRPr="003F6306" w:rsidRDefault="00F82531" w:rsidP="00D0626E">
      <w:r w:rsidRPr="003F6306">
        <w:t>In 2016–17 the KAE unit continued to engage Aboriginal children, young people and families, government departments, CSOs, Koori community organisations and advisory bodies, Ministerial advisory bodies and Royal Commissions.</w:t>
      </w:r>
    </w:p>
    <w:p w:rsidR="007A01BD" w:rsidRPr="003F6306" w:rsidRDefault="00F82531" w:rsidP="00D0626E">
      <w:r w:rsidRPr="003F6306">
        <w:t>The Commissioner for Aboriginal Children and Young People spoke at forums to promote continuous improvement and innovation</w:t>
      </w:r>
      <w:r w:rsidR="00D0626E">
        <w:t xml:space="preserve"> </w:t>
      </w:r>
      <w:r w:rsidRPr="003F6306">
        <w:t>for vulnerable Aboriginal and/or Torres Strait Islander children in child protection, youth justice and out-of-home care. The Commissioner spoke at state and national forums including:</w:t>
      </w:r>
    </w:p>
    <w:p w:rsidR="007A01BD" w:rsidRPr="003F6306" w:rsidRDefault="00F82531" w:rsidP="00D0626E">
      <w:pPr>
        <w:pStyle w:val="Bullets"/>
      </w:pPr>
      <w:r w:rsidRPr="003F6306">
        <w:t>Healing our Future: Caring for Koori Kids Forum, Portland and Geelong,</w:t>
      </w:r>
      <w:r w:rsidRPr="003F6306">
        <w:rPr>
          <w:spacing w:val="23"/>
        </w:rPr>
        <w:t xml:space="preserve"> </w:t>
      </w:r>
      <w:r w:rsidRPr="003F6306">
        <w:t>Victoria</w:t>
      </w:r>
    </w:p>
    <w:p w:rsidR="007A01BD" w:rsidRPr="003F6306" w:rsidRDefault="00F82531" w:rsidP="00D0626E">
      <w:pPr>
        <w:pStyle w:val="Bullets"/>
      </w:pPr>
      <w:r w:rsidRPr="003F6306">
        <w:t>Mungabareena Aboriginal Corporation, Wodonga</w:t>
      </w:r>
      <w:r w:rsidRPr="003F6306">
        <w:rPr>
          <w:spacing w:val="3"/>
        </w:rPr>
        <w:t xml:space="preserve"> </w:t>
      </w:r>
      <w:r w:rsidRPr="003F6306">
        <w:t>Victoria</w:t>
      </w:r>
    </w:p>
    <w:p w:rsidR="007A01BD" w:rsidRPr="003F6306" w:rsidRDefault="00F82531" w:rsidP="00D0626E">
      <w:pPr>
        <w:pStyle w:val="Bullets"/>
      </w:pPr>
      <w:r w:rsidRPr="003F6306">
        <w:t>Child Aware Approaches Conference – Family Matters, Brisbane</w:t>
      </w:r>
      <w:r w:rsidRPr="003F6306">
        <w:rPr>
          <w:spacing w:val="26"/>
        </w:rPr>
        <w:t xml:space="preserve"> </w:t>
      </w:r>
      <w:r w:rsidRPr="003F6306">
        <w:t>Queensland</w:t>
      </w:r>
    </w:p>
    <w:p w:rsidR="007A01BD" w:rsidRPr="003F6306" w:rsidRDefault="00F82531" w:rsidP="00D0626E">
      <w:pPr>
        <w:pStyle w:val="Bullets"/>
      </w:pPr>
      <w:r w:rsidRPr="003F6306">
        <w:t>MacKillop Family Services National Conference, Melbourne</w:t>
      </w:r>
      <w:r w:rsidRPr="003F6306">
        <w:rPr>
          <w:spacing w:val="20"/>
        </w:rPr>
        <w:t xml:space="preserve"> </w:t>
      </w:r>
      <w:r w:rsidRPr="003F6306">
        <w:t>Victoria</w:t>
      </w:r>
    </w:p>
    <w:p w:rsidR="007A01BD" w:rsidRPr="003F6306" w:rsidRDefault="00F82531" w:rsidP="00D0626E">
      <w:pPr>
        <w:pStyle w:val="Bullets"/>
      </w:pPr>
      <w:r w:rsidRPr="003F6306">
        <w:t>Launch of the Reconciliation Action Plan of the Centre for Excellence for Child and Family Welfare, Melbourne</w:t>
      </w:r>
      <w:r w:rsidRPr="003F6306">
        <w:rPr>
          <w:spacing w:val="10"/>
        </w:rPr>
        <w:t xml:space="preserve"> </w:t>
      </w:r>
      <w:r w:rsidRPr="003F6306">
        <w:t>Victoria</w:t>
      </w:r>
    </w:p>
    <w:p w:rsidR="007A01BD" w:rsidRPr="003F6306" w:rsidRDefault="00F82531" w:rsidP="00D0626E">
      <w:pPr>
        <w:pStyle w:val="Bullets"/>
      </w:pPr>
      <w:r w:rsidRPr="003F6306">
        <w:lastRenderedPageBreak/>
        <w:t>Royal Commission into Institutional Responses to Sexual Abuse, Sydney New South Wales</w:t>
      </w:r>
    </w:p>
    <w:p w:rsidR="007A01BD" w:rsidRPr="003F6306" w:rsidRDefault="00F82531" w:rsidP="00D0626E">
      <w:pPr>
        <w:pStyle w:val="Bullets"/>
      </w:pPr>
      <w:r w:rsidRPr="003F6306">
        <w:t xml:space="preserve">Royal Commission into the Protection and Detention of Children in the Northern </w:t>
      </w:r>
      <w:r w:rsidRPr="003F6306">
        <w:rPr>
          <w:spacing w:val="-3"/>
        </w:rPr>
        <w:t xml:space="preserve">Territory,  </w:t>
      </w:r>
      <w:r w:rsidRPr="003F6306">
        <w:t>Darwin Northern</w:t>
      </w:r>
      <w:r w:rsidRPr="003F6306">
        <w:rPr>
          <w:spacing w:val="1"/>
        </w:rPr>
        <w:t xml:space="preserve"> </w:t>
      </w:r>
      <w:r w:rsidRPr="003F6306">
        <w:rPr>
          <w:spacing w:val="-3"/>
        </w:rPr>
        <w:t>Territory.</w:t>
      </w:r>
    </w:p>
    <w:p w:rsidR="007A01BD" w:rsidRPr="003F6306" w:rsidRDefault="00F82531" w:rsidP="00D0626E">
      <w:pPr>
        <w:pStyle w:val="Heading2"/>
      </w:pPr>
      <w:bookmarkStart w:id="86" w:name="_Toc496019846"/>
      <w:r w:rsidRPr="003F6306">
        <w:t>The Aboriginal Children’s Forum</w:t>
      </w:r>
      <w:bookmarkEnd w:id="86"/>
    </w:p>
    <w:p w:rsidR="007A01BD" w:rsidRPr="003F6306" w:rsidRDefault="00F82531" w:rsidP="00D0626E">
      <w:r w:rsidRPr="003F6306">
        <w:t>The quarterly ACF is convened by the Hon. Jenny Mikakos, Minister for Families</w:t>
      </w:r>
    </w:p>
    <w:p w:rsidR="007A01BD" w:rsidRPr="003F6306" w:rsidRDefault="00F82531" w:rsidP="00D0626E">
      <w:r w:rsidRPr="003F6306">
        <w:t>and Children, and co-chaired with a nominated CEO from an ACCO. It brings together key players from DHHS, ACCOs and other relevant organisations to address the over-representation of Aboriginal children in out-of-home care.</w:t>
      </w:r>
    </w:p>
    <w:p w:rsidR="007A01BD" w:rsidRPr="003F6306" w:rsidRDefault="00F82531" w:rsidP="00D0626E">
      <w:r w:rsidRPr="003F6306">
        <w:t xml:space="preserve">These deficits were highlighted in Taskforce 1000 and identified in the </w:t>
      </w:r>
      <w:r w:rsidRPr="003F6306">
        <w:rPr>
          <w:i/>
        </w:rPr>
        <w:t xml:space="preserve">Koori kids: Growing strong in their culture </w:t>
      </w:r>
      <w:r w:rsidRPr="003F6306">
        <w:t xml:space="preserve">submission. In late 2013, the Commissioner for Aboriginal Children and Young People lobbied for the establishment of the ACF and an Aboriginal Children’s Strategy. This advice stemmed from outcomes of </w:t>
      </w:r>
      <w:r w:rsidRPr="003F6306">
        <w:rPr>
          <w:i/>
        </w:rPr>
        <w:t>Koori kids: Growing strong in their culture</w:t>
      </w:r>
      <w:r w:rsidRPr="003F6306">
        <w:t>, and was based on the Commissioner’s experience</w:t>
      </w:r>
    </w:p>
    <w:p w:rsidR="007A01BD" w:rsidRPr="003F6306" w:rsidRDefault="00F82531" w:rsidP="00D0626E">
      <w:r w:rsidRPr="003F6306">
        <w:t>with the Aboriginal Justice Forum (AJF) at the Department of Justice and Regulation.</w:t>
      </w:r>
    </w:p>
    <w:p w:rsidR="007A01BD" w:rsidRPr="003F6306" w:rsidRDefault="00F82531" w:rsidP="00D0626E">
      <w:r w:rsidRPr="003F6306">
        <w:t>The most significant outcome for the Commission was the government’s response and action plan to address the recommendations from our two inquiries,</w:t>
      </w:r>
      <w:r w:rsidR="00D0626E">
        <w:t xml:space="preserve"> </w:t>
      </w:r>
      <w:r w:rsidRPr="003F6306">
        <w:rPr>
          <w:i/>
        </w:rPr>
        <w:t xml:space="preserve">Always was, always will be Koori children </w:t>
      </w:r>
      <w:r w:rsidRPr="003F6306">
        <w:t xml:space="preserve">and </w:t>
      </w:r>
      <w:r w:rsidRPr="003F6306">
        <w:rPr>
          <w:i/>
        </w:rPr>
        <w:t>In the child’s best interests</w:t>
      </w:r>
      <w:r w:rsidRPr="003F6306">
        <w:t xml:space="preserve">. Accountability  and reporting mechanisms for this action plan were tabled at the </w:t>
      </w:r>
      <w:r w:rsidRPr="003F6306">
        <w:rPr>
          <w:spacing w:val="-6"/>
        </w:rPr>
        <w:t xml:space="preserve">ACF, </w:t>
      </w:r>
      <w:r w:rsidRPr="003F6306">
        <w:t>and a forum</w:t>
      </w:r>
      <w:r w:rsidRPr="003F6306">
        <w:rPr>
          <w:spacing w:val="22"/>
        </w:rPr>
        <w:t xml:space="preserve"> </w:t>
      </w:r>
      <w:r w:rsidRPr="003F6306">
        <w:t>sub-committee co-chaired by the Commissioner was established to monitor the progress of the plan.</w:t>
      </w:r>
    </w:p>
    <w:p w:rsidR="007A01BD" w:rsidRPr="003F6306" w:rsidRDefault="00F82531" w:rsidP="00D0626E">
      <w:r w:rsidRPr="003F6306">
        <w:t>The ACF is only one aspect of the government’s commitment to Aboriginal self-determination and involvement of the Victorian Aboriginal community in decisions about children’s</w:t>
      </w:r>
      <w:r w:rsidRPr="003F6306">
        <w:rPr>
          <w:spacing w:val="20"/>
        </w:rPr>
        <w:t xml:space="preserve"> </w:t>
      </w:r>
      <w:r w:rsidRPr="003F6306">
        <w:t>needs.</w:t>
      </w:r>
    </w:p>
    <w:p w:rsidR="007A01BD" w:rsidRPr="003F6306" w:rsidRDefault="00F82531" w:rsidP="00D0626E">
      <w:r w:rsidRPr="003F6306">
        <w:t>Some of the topics that have been discussed at the ACF include:</w:t>
      </w:r>
    </w:p>
    <w:p w:rsidR="007A01BD" w:rsidRPr="003F6306" w:rsidRDefault="00F82531" w:rsidP="00D0626E">
      <w:pPr>
        <w:pStyle w:val="Bullets"/>
      </w:pPr>
      <w:r w:rsidRPr="003F6306">
        <w:t>innovations in programs and services aimed at keeping Aboriginal children connected to culture and</w:t>
      </w:r>
      <w:r w:rsidRPr="003F6306">
        <w:rPr>
          <w:spacing w:val="12"/>
        </w:rPr>
        <w:t xml:space="preserve"> </w:t>
      </w:r>
      <w:r w:rsidRPr="003F6306">
        <w:t>Country</w:t>
      </w:r>
    </w:p>
    <w:p w:rsidR="007A01BD" w:rsidRPr="003F6306" w:rsidRDefault="00F82531" w:rsidP="00D0626E">
      <w:pPr>
        <w:pStyle w:val="Bullets"/>
      </w:pPr>
      <w:r w:rsidRPr="003F6306">
        <w:t>funding announcements to support Aboriginal services to help families and prevent children from entering out-of-home</w:t>
      </w:r>
      <w:r w:rsidRPr="003F6306">
        <w:rPr>
          <w:spacing w:val="2"/>
        </w:rPr>
        <w:t xml:space="preserve"> </w:t>
      </w:r>
      <w:r w:rsidRPr="003F6306">
        <w:t>care</w:t>
      </w:r>
    </w:p>
    <w:p w:rsidR="007A01BD" w:rsidRPr="003F6306" w:rsidRDefault="00F82531" w:rsidP="00D0626E">
      <w:pPr>
        <w:pStyle w:val="Bullets"/>
      </w:pPr>
      <w:r w:rsidRPr="003F6306">
        <w:t>the findings of our inquiry reports, Taskforce 1000 and other data gathered through our monitoring</w:t>
      </w:r>
      <w:r w:rsidRPr="003F6306">
        <w:rPr>
          <w:spacing w:val="10"/>
        </w:rPr>
        <w:t xml:space="preserve"> </w:t>
      </w:r>
      <w:r w:rsidRPr="003F6306">
        <w:t>functions</w:t>
      </w:r>
    </w:p>
    <w:p w:rsidR="007A01BD" w:rsidRPr="00D0626E" w:rsidRDefault="00F82531" w:rsidP="00D0626E">
      <w:pPr>
        <w:pStyle w:val="Bullets"/>
      </w:pPr>
      <w:r w:rsidRPr="003F6306">
        <w:t>progress reports on the transition of case management of Aboriginal children in out-of- home care from government to</w:t>
      </w:r>
      <w:r w:rsidRPr="003F6306">
        <w:rPr>
          <w:spacing w:val="6"/>
        </w:rPr>
        <w:t xml:space="preserve"> </w:t>
      </w:r>
      <w:r w:rsidRPr="003F6306">
        <w:t>ACCOs.</w:t>
      </w:r>
    </w:p>
    <w:p w:rsidR="007A01BD" w:rsidRPr="003F6306" w:rsidRDefault="00F82531" w:rsidP="00D0626E">
      <w:pPr>
        <w:pStyle w:val="Heading2"/>
      </w:pPr>
      <w:bookmarkStart w:id="87" w:name="_Toc496019847"/>
      <w:r w:rsidRPr="003F6306">
        <w:t>Aboriginal Children and Families Strategic Action Plan</w:t>
      </w:r>
      <w:bookmarkEnd w:id="87"/>
    </w:p>
    <w:p w:rsidR="007A01BD" w:rsidRPr="003F6306" w:rsidRDefault="00F82531" w:rsidP="00D0626E">
      <w:r w:rsidRPr="003F6306">
        <w:t>This year we enjoyed working with the ACF to develop a strategic action plan and agreement for Aboriginal children and families. The plan brings us together with the DHHS, ACCOs and CSOs. By working across organisations and keeping the plan consistent with the Victorian Government’s  principles  of  self- determination, we can deliver a sustainable and successful action plan.</w:t>
      </w:r>
    </w:p>
    <w:p w:rsidR="007A01BD" w:rsidRPr="003F6306" w:rsidRDefault="00F82531" w:rsidP="00D0626E">
      <w:pPr>
        <w:pStyle w:val="Heading2"/>
      </w:pPr>
      <w:bookmarkStart w:id="88" w:name="_Toc496019848"/>
      <w:r w:rsidRPr="003F6306">
        <w:t>Transferring parental responsibility for Aboriginal children from government to community</w:t>
      </w:r>
      <w:bookmarkEnd w:id="88"/>
    </w:p>
    <w:p w:rsidR="00D0626E" w:rsidRDefault="00F82531" w:rsidP="00D0626E">
      <w:r w:rsidRPr="003F6306">
        <w:t>We strongly support work being done by government  and  community  organisations in progressing the self-determination goal of</w:t>
      </w:r>
      <w:r w:rsidR="00D0626E">
        <w:t xml:space="preserve"> </w:t>
      </w:r>
      <w:r w:rsidRPr="003F6306">
        <w:t xml:space="preserve">implementing section </w:t>
      </w:r>
      <w:r w:rsidRPr="003F6306">
        <w:rPr>
          <w:spacing w:val="-6"/>
        </w:rPr>
        <w:t xml:space="preserve">18 </w:t>
      </w:r>
      <w:r w:rsidRPr="003F6306">
        <w:t>of the CYF Act under a program called Aboriginal Children in Aboriginal Care. The program enables the Secretary of DHHS to authorise an Aboriginal principal officer of an appropriately trained, supported and resourced ACCO to make decisions about Aboriginal children on protection orders</w:t>
      </w:r>
      <w:r w:rsidRPr="003F6306">
        <w:rPr>
          <w:spacing w:val="28"/>
        </w:rPr>
        <w:t xml:space="preserve"> </w:t>
      </w:r>
      <w:r w:rsidRPr="003F6306">
        <w:t>that</w:t>
      </w:r>
      <w:r w:rsidR="00D0626E">
        <w:t xml:space="preserve"> </w:t>
      </w:r>
      <w:r w:rsidRPr="003F6306">
        <w:lastRenderedPageBreak/>
        <w:t>would normally be made by DHHS. This is a shift in the role of ACCOs, from advisors to decision makers, allowing them to become responsible for case planning and support that</w:t>
      </w:r>
      <w:r w:rsidRPr="003F6306">
        <w:rPr>
          <w:spacing w:val="27"/>
        </w:rPr>
        <w:t xml:space="preserve"> </w:t>
      </w:r>
      <w:r w:rsidRPr="003F6306">
        <w:t>matches</w:t>
      </w:r>
      <w:r w:rsidR="00D0626E">
        <w:t xml:space="preserve"> </w:t>
      </w:r>
      <w:r w:rsidRPr="003F6306">
        <w:t>the plan. The ACCOs work collaboratively with professionals, family and community to</w:t>
      </w:r>
      <w:r w:rsidR="00D0626E">
        <w:t xml:space="preserve"> </w:t>
      </w:r>
      <w:r w:rsidRPr="003F6306">
        <w:t>implement the case plan and provide culturally safe support.</w:t>
      </w:r>
    </w:p>
    <w:p w:rsidR="007A01BD" w:rsidRPr="003F6306" w:rsidRDefault="00F82531" w:rsidP="00D0626E">
      <w:r w:rsidRPr="003F6306">
        <w:t>Aboriginal Children in Aboriginal Care aims to meet the following objectives:</w:t>
      </w:r>
    </w:p>
    <w:p w:rsidR="007A01BD" w:rsidRPr="003F6306" w:rsidRDefault="00F82531" w:rsidP="00D0626E">
      <w:pPr>
        <w:pStyle w:val="Bullets"/>
      </w:pPr>
      <w:r w:rsidRPr="003F6306">
        <w:t>maintain Aboriginal children’s cultural identity by preventing loss or disconnection from family, community and</w:t>
      </w:r>
      <w:r w:rsidRPr="003F6306">
        <w:rPr>
          <w:spacing w:val="6"/>
        </w:rPr>
        <w:t xml:space="preserve"> </w:t>
      </w:r>
      <w:r w:rsidRPr="003F6306">
        <w:t>culture</w:t>
      </w:r>
    </w:p>
    <w:p w:rsidR="007A01BD" w:rsidRPr="003F6306" w:rsidRDefault="00F82531" w:rsidP="00D0626E">
      <w:pPr>
        <w:pStyle w:val="Bullets"/>
      </w:pPr>
      <w:r w:rsidRPr="003F6306">
        <w:t>develop culturally safe responses for Aboriginal children to reunify with parents or extended</w:t>
      </w:r>
      <w:r w:rsidRPr="003F6306">
        <w:rPr>
          <w:spacing w:val="6"/>
        </w:rPr>
        <w:t xml:space="preserve"> </w:t>
      </w:r>
      <w:r w:rsidRPr="003F6306">
        <w:t>family</w:t>
      </w:r>
    </w:p>
    <w:p w:rsidR="007A01BD" w:rsidRPr="003F6306" w:rsidRDefault="00F82531" w:rsidP="00D0626E">
      <w:pPr>
        <w:pStyle w:val="Bullets"/>
      </w:pPr>
      <w:r w:rsidRPr="003F6306">
        <w:t>maintain and develop connection to Country for Aboriginal</w:t>
      </w:r>
      <w:r w:rsidRPr="003F6306">
        <w:rPr>
          <w:spacing w:val="12"/>
        </w:rPr>
        <w:t xml:space="preserve"> </w:t>
      </w:r>
      <w:r w:rsidRPr="003F6306">
        <w:t>children</w:t>
      </w:r>
    </w:p>
    <w:p w:rsidR="007A01BD" w:rsidRPr="003F6306" w:rsidRDefault="00F82531" w:rsidP="00D0626E">
      <w:pPr>
        <w:pStyle w:val="Bullets"/>
      </w:pPr>
      <w:r w:rsidRPr="003F6306">
        <w:t>improve support and decision making for Aboriginal</w:t>
      </w:r>
      <w:r w:rsidRPr="003F6306">
        <w:rPr>
          <w:spacing w:val="12"/>
        </w:rPr>
        <w:t xml:space="preserve"> </w:t>
      </w:r>
      <w:r w:rsidRPr="003F6306">
        <w:t>children.</w:t>
      </w:r>
    </w:p>
    <w:p w:rsidR="007A01BD" w:rsidRPr="003F6306" w:rsidRDefault="00F82531" w:rsidP="00D0626E">
      <w:r w:rsidRPr="003F6306">
        <w:t>The Commissioner for Aboriginal Children and Young People, and the Manager of the KAE unit are members of the program implementation</w:t>
      </w:r>
      <w:r w:rsidR="00D0626E">
        <w:t xml:space="preserve"> </w:t>
      </w:r>
      <w:r w:rsidRPr="003F6306">
        <w:t xml:space="preserve">steering group. Their participation ensures that one of the key recommendations we made in our report </w:t>
      </w:r>
      <w:r w:rsidRPr="003F6306">
        <w:rPr>
          <w:i/>
        </w:rPr>
        <w:t xml:space="preserve">In the child’s best interests </w:t>
      </w:r>
      <w:r w:rsidRPr="003F6306">
        <w:t>is addressed.</w:t>
      </w:r>
    </w:p>
    <w:p w:rsidR="007A01BD" w:rsidRPr="003F6306" w:rsidRDefault="00F82531" w:rsidP="00D0626E">
      <w:r w:rsidRPr="003F6306">
        <w:t>Work on Aboriginal Children in Aboriginal Care implementation is being progressed by the following organisations, through the</w:t>
      </w:r>
      <w:r w:rsidR="00D0626E">
        <w:t xml:space="preserve"> </w:t>
      </w:r>
      <w:r w:rsidRPr="003F6306">
        <w:t>steering group:</w:t>
      </w:r>
    </w:p>
    <w:p w:rsidR="007A01BD" w:rsidRPr="003F6306" w:rsidRDefault="00F82531" w:rsidP="00D0626E">
      <w:pPr>
        <w:pStyle w:val="Bullets"/>
      </w:pPr>
      <w:r w:rsidRPr="003F6306">
        <w:t>DHHS</w:t>
      </w:r>
    </w:p>
    <w:p w:rsidR="007A01BD" w:rsidRPr="003F6306" w:rsidRDefault="00F82531" w:rsidP="00D0626E">
      <w:pPr>
        <w:pStyle w:val="Bullets"/>
      </w:pPr>
      <w:r w:rsidRPr="003F6306">
        <w:rPr>
          <w:spacing w:val="-4"/>
        </w:rPr>
        <w:t>VACCA</w:t>
      </w:r>
    </w:p>
    <w:p w:rsidR="007A01BD" w:rsidRPr="003F6306" w:rsidRDefault="00F82531" w:rsidP="00D0626E">
      <w:pPr>
        <w:pStyle w:val="Bullets"/>
      </w:pPr>
      <w:r w:rsidRPr="003F6306">
        <w:t>Bendigo and District Aboriginal</w:t>
      </w:r>
      <w:r w:rsidRPr="003F6306">
        <w:rPr>
          <w:spacing w:val="30"/>
        </w:rPr>
        <w:t xml:space="preserve"> </w:t>
      </w:r>
      <w:r w:rsidRPr="003F6306">
        <w:t>Cooperative</w:t>
      </w:r>
    </w:p>
    <w:p w:rsidR="007A01BD" w:rsidRPr="003F6306" w:rsidRDefault="00F82531" w:rsidP="00D0626E">
      <w:pPr>
        <w:pStyle w:val="Bullets"/>
      </w:pPr>
      <w:r w:rsidRPr="003F6306">
        <w:t xml:space="preserve">Victorian Aboriginal Children and </w:t>
      </w:r>
      <w:r w:rsidRPr="003F6306">
        <w:rPr>
          <w:spacing w:val="-4"/>
        </w:rPr>
        <w:t xml:space="preserve">Young </w:t>
      </w:r>
      <w:r w:rsidRPr="003F6306">
        <w:t>People</w:t>
      </w:r>
      <w:r w:rsidRPr="003F6306">
        <w:rPr>
          <w:spacing w:val="7"/>
        </w:rPr>
        <w:t xml:space="preserve"> </w:t>
      </w:r>
      <w:r w:rsidRPr="003F6306">
        <w:t>Alliance</w:t>
      </w:r>
    </w:p>
    <w:p w:rsidR="007A01BD" w:rsidRPr="003F6306" w:rsidRDefault="00F82531" w:rsidP="00D0626E">
      <w:pPr>
        <w:pStyle w:val="Bullets"/>
      </w:pPr>
      <w:r w:rsidRPr="003F6306">
        <w:t>Centre for Excellence in Child and Family</w:t>
      </w:r>
      <w:r w:rsidRPr="003F6306">
        <w:rPr>
          <w:spacing w:val="-4"/>
        </w:rPr>
        <w:t xml:space="preserve"> </w:t>
      </w:r>
      <w:r w:rsidRPr="003F6306">
        <w:t>Welfare.</w:t>
      </w:r>
    </w:p>
    <w:p w:rsidR="007A01BD" w:rsidRPr="003F6306" w:rsidRDefault="00F82531" w:rsidP="00D0626E">
      <w:r w:rsidRPr="003F6306">
        <w:t>We continue to promote ongoing and bipartisan commitment, support and resourcing between government and ACCOs.</w:t>
      </w:r>
    </w:p>
    <w:p w:rsidR="007A01BD" w:rsidRPr="003F6306" w:rsidRDefault="00F82531" w:rsidP="00D0626E">
      <w:pPr>
        <w:pStyle w:val="Heading2"/>
      </w:pPr>
      <w:bookmarkStart w:id="89" w:name="_Toc496019849"/>
      <w:r w:rsidRPr="003F6306">
        <w:t>Transitioning Aboriginal children’s cases to ACCOs</w:t>
      </w:r>
      <w:bookmarkEnd w:id="89"/>
    </w:p>
    <w:p w:rsidR="007A01BD" w:rsidRPr="003F6306" w:rsidRDefault="00F82531" w:rsidP="00D0626E">
      <w:r w:rsidRPr="003F6306">
        <w:rPr>
          <w:spacing w:val="-3"/>
        </w:rPr>
        <w:t xml:space="preserve">We </w:t>
      </w:r>
      <w:r w:rsidRPr="003F6306">
        <w:t xml:space="preserve">are actively involved in the steering committee and working group for transitioning the case management of Aboriginal children  on child protection orders and out-of-home care from government to ACCOs. At the end of </w:t>
      </w:r>
      <w:r w:rsidRPr="003F6306">
        <w:rPr>
          <w:spacing w:val="-4"/>
        </w:rPr>
        <w:t xml:space="preserve">2016, </w:t>
      </w:r>
      <w:r w:rsidRPr="003F6306">
        <w:rPr>
          <w:spacing w:val="-7"/>
        </w:rPr>
        <w:t xml:space="preserve">14 </w:t>
      </w:r>
      <w:r w:rsidRPr="003F6306">
        <w:t xml:space="preserve">per cent of Aboriginal Children in out- of-home care were case managed by ACCOs. With this as a starting point, the working group is aiming for 30 per cent of Aboriginal children transitioned to ACCOs from CSOs and DHHS case management by the end of </w:t>
      </w:r>
      <w:r w:rsidRPr="003F6306">
        <w:rPr>
          <w:spacing w:val="-9"/>
        </w:rPr>
        <w:t xml:space="preserve">2017, </w:t>
      </w:r>
      <w:r w:rsidRPr="003F6306">
        <w:t>80</w:t>
      </w:r>
      <w:r w:rsidRPr="003F6306">
        <w:rPr>
          <w:spacing w:val="27"/>
        </w:rPr>
        <w:t xml:space="preserve"> </w:t>
      </w:r>
      <w:r w:rsidRPr="003F6306">
        <w:t>per</w:t>
      </w:r>
      <w:r w:rsidR="00D0626E">
        <w:t xml:space="preserve"> </w:t>
      </w:r>
      <w:r w:rsidRPr="003F6306">
        <w:t>cent by the end of 2018 and 100 per cent by the end of 2021. We will contribute to monitoring achievement of these targets through the DHHS steering committee and the ACF.</w:t>
      </w:r>
    </w:p>
    <w:p w:rsidR="007A01BD" w:rsidRPr="003F6306" w:rsidRDefault="00F82531" w:rsidP="00D0626E">
      <w:pPr>
        <w:pStyle w:val="Heading2"/>
      </w:pPr>
      <w:bookmarkStart w:id="90" w:name="_Toc496019850"/>
      <w:r w:rsidRPr="003F6306">
        <w:t>Aboriginal Justice Forum</w:t>
      </w:r>
      <w:bookmarkEnd w:id="90"/>
    </w:p>
    <w:p w:rsidR="007A01BD" w:rsidRPr="003F6306" w:rsidRDefault="00F82531" w:rsidP="00D0626E">
      <w:r w:rsidRPr="003F6306">
        <w:t>Our Commissioner for Aboriginal Children and Young People is an AJF partner. This year his work included:</w:t>
      </w:r>
    </w:p>
    <w:p w:rsidR="007A01BD" w:rsidRPr="003F6306" w:rsidRDefault="00F82531" w:rsidP="00D0626E">
      <w:pPr>
        <w:pStyle w:val="Bullets"/>
      </w:pPr>
      <w:r w:rsidRPr="003F6306">
        <w:t>highlighting the need for cultural support planning for kids in youth justice</w:t>
      </w:r>
      <w:r w:rsidRPr="003F6306">
        <w:rPr>
          <w:spacing w:val="12"/>
        </w:rPr>
        <w:t xml:space="preserve"> </w:t>
      </w:r>
      <w:r w:rsidRPr="003F6306">
        <w:t>custody</w:t>
      </w:r>
    </w:p>
    <w:p w:rsidR="007A01BD" w:rsidRPr="003F6306" w:rsidRDefault="00F82531" w:rsidP="00D0626E">
      <w:pPr>
        <w:pStyle w:val="Bullets"/>
      </w:pPr>
      <w:r w:rsidRPr="003F6306">
        <w:t>bringing a focus to complaints about police behaviour made by Aboriginal children and young people to prompt partners to review the issues raised and explore ways to address any problems that are</w:t>
      </w:r>
      <w:r w:rsidRPr="003F6306">
        <w:rPr>
          <w:spacing w:val="23"/>
        </w:rPr>
        <w:t xml:space="preserve"> </w:t>
      </w:r>
      <w:r w:rsidRPr="003F6306">
        <w:t>identified</w:t>
      </w:r>
    </w:p>
    <w:p w:rsidR="007A01BD" w:rsidRPr="003F6306" w:rsidRDefault="00F82531" w:rsidP="00D0626E">
      <w:pPr>
        <w:pStyle w:val="Bullets"/>
      </w:pPr>
      <w:r w:rsidRPr="003F6306">
        <w:t>briefing the AJF on the findings of Taskforce 1000 regarding the intersection between out-of-home care and the youth justice system</w:t>
      </w:r>
    </w:p>
    <w:p w:rsidR="007A01BD" w:rsidRPr="003F6306" w:rsidRDefault="00F82531" w:rsidP="00D0626E">
      <w:pPr>
        <w:pStyle w:val="Bullets"/>
      </w:pPr>
      <w:r w:rsidRPr="003F6306">
        <w:t>advocating to raise the minimum age of criminal responsibility to</w:t>
      </w:r>
      <w:r w:rsidRPr="003F6306">
        <w:rPr>
          <w:spacing w:val="15"/>
        </w:rPr>
        <w:t xml:space="preserve"> </w:t>
      </w:r>
      <w:r w:rsidRPr="003F6306">
        <w:rPr>
          <w:spacing w:val="-6"/>
        </w:rPr>
        <w:t>14.</w:t>
      </w:r>
    </w:p>
    <w:p w:rsidR="007A01BD" w:rsidRPr="003F6306" w:rsidRDefault="00F82531" w:rsidP="00D0626E">
      <w:r w:rsidRPr="003F6306">
        <w:t>At each AJF the Commissioner strongly advocated the need for the next phase of the Aboriginal Justice Agreement to have a focus on</w:t>
      </w:r>
      <w:r w:rsidR="00D0626E">
        <w:t xml:space="preserve"> </w:t>
      </w:r>
      <w:r w:rsidRPr="003F6306">
        <w:t xml:space="preserve">children and young people. This will be </w:t>
      </w:r>
      <w:r w:rsidRPr="003F6306">
        <w:lastRenderedPageBreak/>
        <w:t>achieved through the development of an Aboriginal Youth Justice Strategy, which was announced at the final AJF for 2016–17.</w:t>
      </w:r>
    </w:p>
    <w:p w:rsidR="007A01BD" w:rsidRPr="003F6306" w:rsidRDefault="00F82531" w:rsidP="00D0626E">
      <w:r w:rsidRPr="003F6306">
        <w:t>Our Commissioner looks forward to continuing our collaboration with ACF partners and representing the interests of Aboriginal children and young people to achieve better outcomes for them through this forum.</w:t>
      </w:r>
    </w:p>
    <w:p w:rsidR="007A01BD" w:rsidRPr="003F6306" w:rsidRDefault="00F82531" w:rsidP="00D0626E">
      <w:pPr>
        <w:pStyle w:val="Heading2"/>
      </w:pPr>
      <w:bookmarkStart w:id="91" w:name="_Toc496019851"/>
      <w:r w:rsidRPr="003F6306">
        <w:t>Phase 4 of the Aboriginal Justice Agreement</w:t>
      </w:r>
      <w:bookmarkEnd w:id="91"/>
    </w:p>
    <w:p w:rsidR="007A01BD" w:rsidRPr="003F6306" w:rsidRDefault="00F82531" w:rsidP="00D0626E">
      <w:r w:rsidRPr="003F6306">
        <w:t xml:space="preserve">In </w:t>
      </w:r>
      <w:r w:rsidRPr="003F6306">
        <w:rPr>
          <w:spacing w:val="-5"/>
        </w:rPr>
        <w:t xml:space="preserve">2016–17 </w:t>
      </w:r>
      <w:r w:rsidRPr="003F6306">
        <w:t xml:space="preserve">the Commissioner for Aboriginal Children and </w:t>
      </w:r>
      <w:r w:rsidRPr="003F6306">
        <w:rPr>
          <w:spacing w:val="-4"/>
        </w:rPr>
        <w:t xml:space="preserve">Young </w:t>
      </w:r>
      <w:r w:rsidRPr="003F6306">
        <w:t xml:space="preserve">People and members of  the </w:t>
      </w:r>
      <w:r w:rsidRPr="003F6306">
        <w:rPr>
          <w:spacing w:val="2"/>
        </w:rPr>
        <w:t xml:space="preserve">KAE </w:t>
      </w:r>
      <w:r w:rsidRPr="003F6306">
        <w:t xml:space="preserve">unit helped develop Phase 4 of the Aboriginal Justice Agreement, which is due to be completed in </w:t>
      </w:r>
      <w:r w:rsidRPr="003F6306">
        <w:rPr>
          <w:spacing w:val="-4"/>
        </w:rPr>
        <w:t xml:space="preserve">2018. </w:t>
      </w:r>
      <w:r w:rsidRPr="003F6306">
        <w:rPr>
          <w:spacing w:val="-3"/>
        </w:rPr>
        <w:t xml:space="preserve">We </w:t>
      </w:r>
      <w:r w:rsidRPr="003F6306">
        <w:t>want the needs of Aboriginal children and young people to be a core focus, and for government and community partners to commit to early intervention, prevention and</w:t>
      </w:r>
      <w:r w:rsidRPr="003F6306">
        <w:rPr>
          <w:spacing w:val="5"/>
        </w:rPr>
        <w:t xml:space="preserve"> </w:t>
      </w:r>
      <w:r w:rsidRPr="003F6306">
        <w:t>diversion.</w:t>
      </w:r>
    </w:p>
    <w:p w:rsidR="007A01BD" w:rsidRPr="003F6306" w:rsidRDefault="00F82531" w:rsidP="00D0626E">
      <w:pPr>
        <w:pStyle w:val="Heading2"/>
      </w:pPr>
      <w:bookmarkStart w:id="92" w:name="_Toc496019852"/>
      <w:r w:rsidRPr="003F6306">
        <w:t>Aboriginal Inclusion Action Plan</w:t>
      </w:r>
      <w:bookmarkEnd w:id="92"/>
    </w:p>
    <w:p w:rsidR="007A01BD" w:rsidRPr="003F6306" w:rsidRDefault="00F82531" w:rsidP="00D0626E">
      <w:r w:rsidRPr="003F6306">
        <w:t>Our AIAP aligns with the Victorian Aboriginal Inclusion Framework, developed in consultation with Victoria’s Koori community.</w:t>
      </w:r>
    </w:p>
    <w:p w:rsidR="007A01BD" w:rsidRPr="003F6306" w:rsidRDefault="00F82531" w:rsidP="00D0626E">
      <w:r w:rsidRPr="003F6306">
        <w:t>The framework strengthens inclusion of Aboriginal people and culture in the workplace, and promotes participation of Aboriginal staff in the design, implementation and assessment of policies and programs.</w:t>
      </w:r>
    </w:p>
    <w:p w:rsidR="007A01BD" w:rsidRPr="003F6306" w:rsidRDefault="00F82531" w:rsidP="00D0626E">
      <w:r w:rsidRPr="003F6306">
        <w:t>Our AIAP will be implemented over 2016–19. Staff contribute to implementing actions, and are encouraged to incorporate AIAP principles into their daily activities.</w:t>
      </w:r>
    </w:p>
    <w:p w:rsidR="007A01BD" w:rsidRPr="003F6306" w:rsidRDefault="00F82531" w:rsidP="00D0626E">
      <w:r w:rsidRPr="003F6306">
        <w:t>We aim to operate in a culturally-safe way, and are determined to influence others to include Aboriginal children, young people and families in their decision making.</w:t>
      </w:r>
    </w:p>
    <w:p w:rsidR="007A01BD" w:rsidRPr="003F6306" w:rsidRDefault="00F82531" w:rsidP="00D0626E">
      <w:r w:rsidRPr="003F6306">
        <w:t>The AIAP has six focus areas:</w:t>
      </w:r>
    </w:p>
    <w:p w:rsidR="007A01BD" w:rsidRPr="00D0626E" w:rsidRDefault="00F82531" w:rsidP="00D0626E">
      <w:pPr>
        <w:pStyle w:val="Bullets"/>
      </w:pPr>
      <w:r w:rsidRPr="00D0626E">
        <w:t>leadership and governance</w:t>
      </w:r>
    </w:p>
    <w:p w:rsidR="007A01BD" w:rsidRPr="00D0626E" w:rsidRDefault="00F82531" w:rsidP="00D0626E">
      <w:pPr>
        <w:pStyle w:val="Bullets"/>
      </w:pPr>
      <w:r w:rsidRPr="00D0626E">
        <w:t>policy and research</w:t>
      </w:r>
    </w:p>
    <w:p w:rsidR="007A01BD" w:rsidRPr="00D0626E" w:rsidRDefault="00F82531" w:rsidP="00D0626E">
      <w:pPr>
        <w:pStyle w:val="Bullets"/>
      </w:pPr>
      <w:r w:rsidRPr="00D0626E">
        <w:t>programs, inquiries and reviews</w:t>
      </w:r>
    </w:p>
    <w:p w:rsidR="007A01BD" w:rsidRPr="00D0626E" w:rsidRDefault="00F82531" w:rsidP="00D0626E">
      <w:pPr>
        <w:pStyle w:val="Bullets"/>
      </w:pPr>
      <w:r w:rsidRPr="00D0626E">
        <w:t>workplace diversity</w:t>
      </w:r>
    </w:p>
    <w:p w:rsidR="00D0626E" w:rsidRPr="00D0626E" w:rsidRDefault="00F82531" w:rsidP="00D0626E">
      <w:pPr>
        <w:pStyle w:val="Bullets"/>
      </w:pPr>
      <w:r w:rsidRPr="00D0626E">
        <w:t>communications</w:t>
      </w:r>
    </w:p>
    <w:p w:rsidR="00D0626E" w:rsidRDefault="00F82531" w:rsidP="00D0626E">
      <w:pPr>
        <w:pStyle w:val="Bullets"/>
      </w:pPr>
      <w:r w:rsidRPr="00D0626E">
        <w:t>Reportable Conduct Scheme and</w:t>
      </w:r>
      <w:r w:rsidRPr="003F6306">
        <w:t xml:space="preserve"> Child Safe</w:t>
      </w:r>
      <w:r w:rsidRPr="00D0626E">
        <w:rPr>
          <w:spacing w:val="10"/>
        </w:rPr>
        <w:t xml:space="preserve"> </w:t>
      </w:r>
      <w:r w:rsidRPr="003F6306">
        <w:t>Standards.</w:t>
      </w:r>
    </w:p>
    <w:p w:rsidR="007A01BD" w:rsidRPr="003F6306" w:rsidRDefault="00F82531" w:rsidP="00D0626E">
      <w:pPr>
        <w:pStyle w:val="Heading3"/>
      </w:pPr>
      <w:r w:rsidRPr="003F6306">
        <w:t>AIAP Working Group</w:t>
      </w:r>
    </w:p>
    <w:p w:rsidR="00D0626E" w:rsidRDefault="00F82531" w:rsidP="00D0626E">
      <w:r w:rsidRPr="003F6306">
        <w:t>We have established a working group to help implement and monitor actions from our AIAP, and provide safe leadership. It will seek relevant, and culturally-appropriate advice from the</w:t>
      </w:r>
      <w:r w:rsidR="00D0626E">
        <w:t xml:space="preserve"> </w:t>
      </w:r>
      <w:r w:rsidRPr="003F6306">
        <w:t>KAE unit and our Commissioner for Aboriginal Children and Young People.</w:t>
      </w:r>
    </w:p>
    <w:p w:rsidR="007A01BD" w:rsidRPr="003F6306" w:rsidRDefault="00F82531" w:rsidP="00D0626E">
      <w:pPr>
        <w:pStyle w:val="Heading3"/>
      </w:pPr>
      <w:r w:rsidRPr="003F6306">
        <w:t>Monitoring, reporting and evaluation</w:t>
      </w:r>
    </w:p>
    <w:p w:rsidR="00D0626E" w:rsidRDefault="00F82531" w:rsidP="00D0626E">
      <w:r w:rsidRPr="003F6306">
        <w:rPr>
          <w:spacing w:val="-3"/>
        </w:rPr>
        <w:t xml:space="preserve">We </w:t>
      </w:r>
      <w:r w:rsidRPr="003F6306">
        <w:t xml:space="preserve">will be transparent and accountable with the AIAP’s progress, and commit to monitoring, reporting and evaluation. Our executive group will assess the implementation and progress, monthly and quarterly. An independent evaluation of the AIAP’s implementation and outcomes will occur in the final stages, in mid- </w:t>
      </w:r>
      <w:r w:rsidRPr="003F6306">
        <w:rPr>
          <w:spacing w:val="-4"/>
        </w:rPr>
        <w:t xml:space="preserve">2019, </w:t>
      </w:r>
      <w:r w:rsidRPr="003F6306">
        <w:t>just in time for its next</w:t>
      </w:r>
      <w:r w:rsidRPr="003F6306">
        <w:rPr>
          <w:spacing w:val="12"/>
        </w:rPr>
        <w:t xml:space="preserve"> </w:t>
      </w:r>
      <w:r w:rsidRPr="003F6306">
        <w:t>iteration.</w:t>
      </w:r>
    </w:p>
    <w:p w:rsidR="007A01BD" w:rsidRPr="003F6306" w:rsidRDefault="00F82531" w:rsidP="00D0626E">
      <w:pPr>
        <w:pStyle w:val="Heading2"/>
      </w:pPr>
      <w:bookmarkStart w:id="93" w:name="_Toc496019853"/>
      <w:r w:rsidRPr="003F6306">
        <w:t>Cultural safety training</w:t>
      </w:r>
      <w:bookmarkEnd w:id="93"/>
    </w:p>
    <w:p w:rsidR="007A01BD" w:rsidRPr="003F6306" w:rsidRDefault="00F82531" w:rsidP="00D0626E">
      <w:r w:rsidRPr="003F6306">
        <w:t>All our staff received cultural safety training this year in response to:</w:t>
      </w:r>
    </w:p>
    <w:p w:rsidR="007A01BD" w:rsidRPr="003F6306" w:rsidRDefault="00F82531" w:rsidP="00D0626E">
      <w:pPr>
        <w:pStyle w:val="Bullets"/>
      </w:pPr>
      <w:r w:rsidRPr="003F6306">
        <w:t>staff wanting to improve confidence in their own and the Commission’s cultural</w:t>
      </w:r>
      <w:r w:rsidRPr="003F6306">
        <w:rPr>
          <w:spacing w:val="5"/>
        </w:rPr>
        <w:t xml:space="preserve"> </w:t>
      </w:r>
      <w:r w:rsidRPr="003F6306">
        <w:t>competency</w:t>
      </w:r>
    </w:p>
    <w:p w:rsidR="007A01BD" w:rsidRPr="003F6306" w:rsidRDefault="00F82531" w:rsidP="00D0626E">
      <w:pPr>
        <w:pStyle w:val="Bullets"/>
      </w:pPr>
      <w:r w:rsidRPr="003F6306">
        <w:t>a defined action within our</w:t>
      </w:r>
      <w:r w:rsidRPr="003F6306">
        <w:rPr>
          <w:spacing w:val="18"/>
        </w:rPr>
        <w:t xml:space="preserve"> </w:t>
      </w:r>
      <w:r w:rsidRPr="003F6306">
        <w:rPr>
          <w:spacing w:val="-5"/>
        </w:rPr>
        <w:t>AIAP.</w:t>
      </w:r>
    </w:p>
    <w:p w:rsidR="007A01BD" w:rsidRPr="003F6306" w:rsidRDefault="00F82531" w:rsidP="00D0626E">
      <w:r w:rsidRPr="003F6306">
        <w:lastRenderedPageBreak/>
        <w:t>The Victorian Aboriginal Community Controlled Health Organisation (VACCHO) was engaged and consulted by the</w:t>
      </w:r>
      <w:r w:rsidRPr="003F6306">
        <w:rPr>
          <w:spacing w:val="21"/>
        </w:rPr>
        <w:t xml:space="preserve"> </w:t>
      </w:r>
      <w:r w:rsidRPr="003F6306">
        <w:t>Aboriginal</w:t>
      </w:r>
      <w:r w:rsidR="00826DAE">
        <w:t xml:space="preserve"> </w:t>
      </w:r>
      <w:r w:rsidRPr="003F6306">
        <w:t>Strategy and Policy unit within the Commission to develop a four-hour cultural safety training program for staff.</w:t>
      </w:r>
    </w:p>
    <w:p w:rsidR="007A01BD" w:rsidRPr="003F6306" w:rsidRDefault="00F82531" w:rsidP="00D0626E">
      <w:r w:rsidRPr="003F6306">
        <w:t>Feedback was generally very positive and the evaluations have been reviewed in collaboration with VACCHO trainers.</w:t>
      </w:r>
    </w:p>
    <w:p w:rsidR="007A01BD" w:rsidRPr="003F6306" w:rsidRDefault="00F82531" w:rsidP="00D0626E">
      <w:r w:rsidRPr="003F6306">
        <w:t xml:space="preserve">Our cultural training plan for the coming </w:t>
      </w:r>
      <w:r w:rsidRPr="003F6306">
        <w:rPr>
          <w:spacing w:val="-6"/>
        </w:rPr>
        <w:t xml:space="preserve">12 </w:t>
      </w:r>
      <w:r w:rsidRPr="003F6306">
        <w:t>months will be based on identifying ongoing  learning  needs,  particularly  as we grow through our expanded</w:t>
      </w:r>
      <w:r w:rsidRPr="003F6306">
        <w:rPr>
          <w:spacing w:val="17"/>
        </w:rPr>
        <w:t xml:space="preserve"> </w:t>
      </w:r>
      <w:r w:rsidRPr="003F6306">
        <w:t>functions.</w:t>
      </w:r>
    </w:p>
    <w:p w:rsidR="00D0626E" w:rsidRDefault="00D0626E" w:rsidP="00826DAE">
      <w:r>
        <w:br w:type="page"/>
      </w:r>
    </w:p>
    <w:p w:rsidR="007A01BD" w:rsidRPr="003F6306" w:rsidRDefault="00F82531" w:rsidP="00826DAE">
      <w:pPr>
        <w:pStyle w:val="Heading1"/>
      </w:pPr>
      <w:bookmarkStart w:id="94" w:name="_Toc496019854"/>
      <w:r w:rsidRPr="00826DAE">
        <w:lastRenderedPageBreak/>
        <w:t>Financial</w:t>
      </w:r>
      <w:r w:rsidRPr="003F6306">
        <w:t xml:space="preserve"> summary</w:t>
      </w:r>
      <w:bookmarkEnd w:id="94"/>
    </w:p>
    <w:p w:rsidR="007A01BD" w:rsidRPr="003F6306" w:rsidRDefault="00F82531" w:rsidP="00D0626E">
      <w:r w:rsidRPr="003F6306">
        <w:t xml:space="preserve">Under section 53 of the </w:t>
      </w:r>
      <w:r w:rsidRPr="003F6306">
        <w:rPr>
          <w:i/>
        </w:rPr>
        <w:t>Financial Management Act 1994</w:t>
      </w:r>
      <w:r w:rsidRPr="003F6306">
        <w:t>, on 20 July 2016, the Minister for Finance  approved  Commission  financials  to be included in the accounts of DHHS in its annual report.</w:t>
      </w:r>
    </w:p>
    <w:p w:rsidR="007A01BD" w:rsidRDefault="00F82531" w:rsidP="00D0626E">
      <w:r w:rsidRPr="003F6306">
        <w:t>Table 13 provides a summary of the Commission’s expenditure for 2016–17.</w:t>
      </w:r>
    </w:p>
    <w:p w:rsidR="00826DAE" w:rsidRDefault="00826DAE" w:rsidP="00D0626E"/>
    <w:p w:rsidR="00826DAE" w:rsidRPr="003F6306" w:rsidRDefault="00826DAE" w:rsidP="00826DAE">
      <w:pPr>
        <w:pStyle w:val="Caption"/>
      </w:pPr>
      <w:bookmarkStart w:id="95" w:name="_Toc496019891"/>
      <w:r>
        <w:t xml:space="preserve">Table </w:t>
      </w:r>
      <w:r>
        <w:fldChar w:fldCharType="begin"/>
      </w:r>
      <w:r>
        <w:instrText xml:space="preserve"> SEQ Table \* ARABIC </w:instrText>
      </w:r>
      <w:r>
        <w:fldChar w:fldCharType="separate"/>
      </w:r>
      <w:r w:rsidR="00DF01C3">
        <w:rPr>
          <w:noProof/>
        </w:rPr>
        <w:t>13</w:t>
      </w:r>
      <w:r>
        <w:fldChar w:fldCharType="end"/>
      </w:r>
      <w:r>
        <w:t xml:space="preserve"> Commission expenditure for 2016-17</w:t>
      </w:r>
      <w:bookmarkEnd w:id="95"/>
    </w:p>
    <w:tbl>
      <w:tblPr>
        <w:tblStyle w:val="LightList-Accent1"/>
        <w:tblW w:w="4941" w:type="pct"/>
        <w:tblLook w:val="01E0" w:firstRow="1" w:lastRow="1" w:firstColumn="1" w:lastColumn="1" w:noHBand="0" w:noVBand="0"/>
      </w:tblPr>
      <w:tblGrid>
        <w:gridCol w:w="3147"/>
        <w:gridCol w:w="3097"/>
        <w:gridCol w:w="1502"/>
        <w:gridCol w:w="1434"/>
      </w:tblGrid>
      <w:tr w:rsidR="00826DAE" w:rsidRPr="00D0626E" w:rsidTr="00826DA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14" w:type="pct"/>
          </w:tcPr>
          <w:p w:rsidR="00826DAE" w:rsidRPr="00D0626E" w:rsidRDefault="00826DAE" w:rsidP="00F601A7">
            <w:r w:rsidRPr="00D0626E">
              <w:t>Expenditure</w:t>
            </w:r>
          </w:p>
        </w:tc>
        <w:tc>
          <w:tcPr>
            <w:cnfStyle w:val="000010000000" w:firstRow="0" w:lastRow="0" w:firstColumn="0" w:lastColumn="0" w:oddVBand="1" w:evenVBand="0" w:oddHBand="0" w:evenHBand="0" w:firstRowFirstColumn="0" w:firstRowLastColumn="0" w:lastRowFirstColumn="0" w:lastRowLastColumn="0"/>
            <w:tcW w:w="1687" w:type="pct"/>
          </w:tcPr>
          <w:p w:rsidR="00826DAE" w:rsidRPr="00D0626E" w:rsidRDefault="00826DAE" w:rsidP="00826DAE">
            <w:pPr>
              <w:tabs>
                <w:tab w:val="left" w:pos="3500"/>
              </w:tabs>
              <w:jc w:val="both"/>
            </w:pPr>
            <w:r w:rsidRPr="00D0626E">
              <w:t>2016–17 ($)</w:t>
            </w:r>
            <w:r>
              <w:tab/>
              <w:t>2015-16</w:t>
            </w:r>
          </w:p>
        </w:tc>
        <w:tc>
          <w:tcPr>
            <w:cnfStyle w:val="000100000000" w:firstRow="0" w:lastRow="0" w:firstColumn="0" w:lastColumn="1" w:oddVBand="0" w:evenVBand="0" w:oddHBand="0" w:evenHBand="0" w:firstRowFirstColumn="0" w:firstRowLastColumn="0" w:lastRowFirstColumn="0" w:lastRowLastColumn="0"/>
            <w:tcW w:w="1600" w:type="pct"/>
            <w:gridSpan w:val="2"/>
          </w:tcPr>
          <w:p w:rsidR="00826DAE" w:rsidRPr="00D0626E" w:rsidRDefault="00826DAE" w:rsidP="00F601A7">
            <w:r w:rsidRPr="00D0626E">
              <w:t>2015–16 ($)</w:t>
            </w:r>
          </w:p>
        </w:tc>
      </w:tr>
      <w:tr w:rsidR="00826DAE" w:rsidRPr="00D0626E" w:rsidTr="00826DA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14" w:type="pct"/>
          </w:tcPr>
          <w:p w:rsidR="00826DAE" w:rsidRPr="00D0626E" w:rsidRDefault="00826DAE" w:rsidP="00D0626E">
            <w:r w:rsidRPr="00D0626E">
              <w:t>Salaries and on costs</w:t>
            </w:r>
          </w:p>
        </w:tc>
        <w:tc>
          <w:tcPr>
            <w:cnfStyle w:val="000010000000" w:firstRow="0" w:lastRow="0" w:firstColumn="0" w:lastColumn="0" w:oddVBand="1" w:evenVBand="0" w:oddHBand="0" w:evenHBand="0" w:firstRowFirstColumn="0" w:firstRowLastColumn="0" w:lastRowFirstColumn="0" w:lastRowLastColumn="0"/>
            <w:tcW w:w="1687" w:type="pct"/>
          </w:tcPr>
          <w:p w:rsidR="00826DAE" w:rsidRPr="00D0626E" w:rsidRDefault="00826DAE" w:rsidP="00D0626E">
            <w:r w:rsidRPr="00D0626E">
              <w:t>5,847,138.77</w:t>
            </w:r>
          </w:p>
        </w:tc>
        <w:tc>
          <w:tcPr>
            <w:tcW w:w="818" w:type="pct"/>
          </w:tcPr>
          <w:p w:rsidR="00826DAE" w:rsidRPr="00D0626E" w:rsidRDefault="00826DAE" w:rsidP="00D0626E">
            <w:pPr>
              <w:cnfStyle w:val="000000100000" w:firstRow="0" w:lastRow="0" w:firstColumn="0" w:lastColumn="0" w:oddVBand="0" w:evenVBand="0" w:oddHBand="1" w:evenHBand="0" w:firstRowFirstColumn="0" w:firstRowLastColumn="0" w:lastRowFirstColumn="0" w:lastRowLastColumn="0"/>
            </w:pPr>
            <w:r w:rsidRPr="00D0626E">
              <w:t>4,350,560.29</w:t>
            </w:r>
          </w:p>
        </w:tc>
        <w:tc>
          <w:tcPr>
            <w:cnfStyle w:val="000100000000" w:firstRow="0" w:lastRow="0" w:firstColumn="0" w:lastColumn="1" w:oddVBand="0" w:evenVBand="0" w:oddHBand="0" w:evenHBand="0" w:firstRowFirstColumn="0" w:firstRowLastColumn="0" w:lastRowFirstColumn="0" w:lastRowLastColumn="0"/>
            <w:tcW w:w="782" w:type="pct"/>
          </w:tcPr>
          <w:p w:rsidR="00826DAE" w:rsidRPr="00D0626E" w:rsidRDefault="00826DAE" w:rsidP="00D0626E"/>
        </w:tc>
      </w:tr>
      <w:tr w:rsidR="00826DAE" w:rsidRPr="00D0626E" w:rsidTr="00826DAE">
        <w:trPr>
          <w:trHeight w:val="500"/>
        </w:trPr>
        <w:tc>
          <w:tcPr>
            <w:cnfStyle w:val="001000000000" w:firstRow="0" w:lastRow="0" w:firstColumn="1" w:lastColumn="0" w:oddVBand="0" w:evenVBand="0" w:oddHBand="0" w:evenHBand="0" w:firstRowFirstColumn="0" w:firstRowLastColumn="0" w:lastRowFirstColumn="0" w:lastRowLastColumn="0"/>
            <w:tcW w:w="1714" w:type="pct"/>
          </w:tcPr>
          <w:p w:rsidR="00826DAE" w:rsidRPr="00D0626E" w:rsidRDefault="00826DAE" w:rsidP="00D0626E">
            <w:r w:rsidRPr="00D0626E">
              <w:t>Grants and other transfers</w:t>
            </w:r>
          </w:p>
        </w:tc>
        <w:tc>
          <w:tcPr>
            <w:cnfStyle w:val="000010000000" w:firstRow="0" w:lastRow="0" w:firstColumn="0" w:lastColumn="0" w:oddVBand="1" w:evenVBand="0" w:oddHBand="0" w:evenHBand="0" w:firstRowFirstColumn="0" w:firstRowLastColumn="0" w:lastRowFirstColumn="0" w:lastRowLastColumn="0"/>
            <w:tcW w:w="1687" w:type="pct"/>
          </w:tcPr>
          <w:p w:rsidR="00826DAE" w:rsidRPr="00D0626E" w:rsidRDefault="00826DAE" w:rsidP="00D0626E">
            <w:r w:rsidRPr="00D0626E">
              <w:t>185,720.60</w:t>
            </w:r>
          </w:p>
        </w:tc>
        <w:tc>
          <w:tcPr>
            <w:tcW w:w="818" w:type="pct"/>
          </w:tcPr>
          <w:p w:rsidR="00826DAE" w:rsidRPr="00D0626E" w:rsidRDefault="00826DAE" w:rsidP="00D0626E">
            <w:pPr>
              <w:cnfStyle w:val="000000000000" w:firstRow="0" w:lastRow="0" w:firstColumn="0" w:lastColumn="0" w:oddVBand="0" w:evenVBand="0" w:oddHBand="0" w:evenHBand="0" w:firstRowFirstColumn="0" w:firstRowLastColumn="0" w:lastRowFirstColumn="0" w:lastRowLastColumn="0"/>
            </w:pPr>
            <w:r w:rsidRPr="00D0626E">
              <w:t>356,260.46</w:t>
            </w:r>
          </w:p>
        </w:tc>
        <w:tc>
          <w:tcPr>
            <w:cnfStyle w:val="000100000000" w:firstRow="0" w:lastRow="0" w:firstColumn="0" w:lastColumn="1" w:oddVBand="0" w:evenVBand="0" w:oddHBand="0" w:evenHBand="0" w:firstRowFirstColumn="0" w:firstRowLastColumn="0" w:lastRowFirstColumn="0" w:lastRowLastColumn="0"/>
            <w:tcW w:w="782" w:type="pct"/>
          </w:tcPr>
          <w:p w:rsidR="00826DAE" w:rsidRPr="00D0626E" w:rsidRDefault="00826DAE" w:rsidP="00D0626E"/>
        </w:tc>
      </w:tr>
      <w:tr w:rsidR="00826DAE" w:rsidRPr="00D0626E" w:rsidTr="00826DA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714" w:type="pct"/>
          </w:tcPr>
          <w:p w:rsidR="00826DAE" w:rsidRPr="00D0626E" w:rsidRDefault="00826DAE" w:rsidP="00D0626E">
            <w:r w:rsidRPr="00D0626E">
              <w:t>Operating expenses</w:t>
            </w:r>
          </w:p>
        </w:tc>
        <w:tc>
          <w:tcPr>
            <w:cnfStyle w:val="000010000000" w:firstRow="0" w:lastRow="0" w:firstColumn="0" w:lastColumn="0" w:oddVBand="1" w:evenVBand="0" w:oddHBand="0" w:evenHBand="0" w:firstRowFirstColumn="0" w:firstRowLastColumn="0" w:lastRowFirstColumn="0" w:lastRowLastColumn="0"/>
            <w:tcW w:w="1687" w:type="pct"/>
          </w:tcPr>
          <w:p w:rsidR="00826DAE" w:rsidRPr="00D0626E" w:rsidRDefault="00826DAE" w:rsidP="00D0626E">
            <w:r w:rsidRPr="00D0626E">
              <w:t>3,170,709.80</w:t>
            </w:r>
          </w:p>
        </w:tc>
        <w:tc>
          <w:tcPr>
            <w:tcW w:w="818" w:type="pct"/>
          </w:tcPr>
          <w:p w:rsidR="00826DAE" w:rsidRPr="00D0626E" w:rsidRDefault="00826DAE" w:rsidP="00D0626E">
            <w:pPr>
              <w:cnfStyle w:val="000000100000" w:firstRow="0" w:lastRow="0" w:firstColumn="0" w:lastColumn="0" w:oddVBand="0" w:evenVBand="0" w:oddHBand="1" w:evenHBand="0" w:firstRowFirstColumn="0" w:firstRowLastColumn="0" w:lastRowFirstColumn="0" w:lastRowLastColumn="0"/>
            </w:pPr>
            <w:r w:rsidRPr="00D0626E">
              <w:t>1,736,657.06</w:t>
            </w:r>
          </w:p>
        </w:tc>
        <w:tc>
          <w:tcPr>
            <w:cnfStyle w:val="000100000000" w:firstRow="0" w:lastRow="0" w:firstColumn="0" w:lastColumn="1" w:oddVBand="0" w:evenVBand="0" w:oddHBand="0" w:evenHBand="0" w:firstRowFirstColumn="0" w:firstRowLastColumn="0" w:lastRowFirstColumn="0" w:lastRowLastColumn="0"/>
            <w:tcW w:w="782" w:type="pct"/>
          </w:tcPr>
          <w:p w:rsidR="00826DAE" w:rsidRPr="00D0626E" w:rsidRDefault="00826DAE" w:rsidP="00D0626E"/>
        </w:tc>
      </w:tr>
      <w:tr w:rsidR="00826DAE" w:rsidRPr="00D0626E" w:rsidTr="00826DAE">
        <w:trPr>
          <w:trHeight w:val="500"/>
        </w:trPr>
        <w:tc>
          <w:tcPr>
            <w:cnfStyle w:val="001000000000" w:firstRow="0" w:lastRow="0" w:firstColumn="1" w:lastColumn="0" w:oddVBand="0" w:evenVBand="0" w:oddHBand="0" w:evenHBand="0" w:firstRowFirstColumn="0" w:firstRowLastColumn="0" w:lastRowFirstColumn="0" w:lastRowLastColumn="0"/>
            <w:tcW w:w="1714" w:type="pct"/>
          </w:tcPr>
          <w:p w:rsidR="00826DAE" w:rsidRPr="00D0626E" w:rsidRDefault="00826DAE" w:rsidP="00D0626E">
            <w:r w:rsidRPr="00D0626E">
              <w:t>Depreciation</w:t>
            </w:r>
          </w:p>
        </w:tc>
        <w:tc>
          <w:tcPr>
            <w:cnfStyle w:val="000010000000" w:firstRow="0" w:lastRow="0" w:firstColumn="0" w:lastColumn="0" w:oddVBand="1" w:evenVBand="0" w:oddHBand="0" w:evenHBand="0" w:firstRowFirstColumn="0" w:firstRowLastColumn="0" w:lastRowFirstColumn="0" w:lastRowLastColumn="0"/>
            <w:tcW w:w="1687" w:type="pct"/>
          </w:tcPr>
          <w:p w:rsidR="00826DAE" w:rsidRPr="00D0626E" w:rsidRDefault="00826DAE" w:rsidP="00D0626E">
            <w:r w:rsidRPr="00D0626E">
              <w:t>10,156.23</w:t>
            </w:r>
          </w:p>
        </w:tc>
        <w:tc>
          <w:tcPr>
            <w:tcW w:w="818" w:type="pct"/>
          </w:tcPr>
          <w:p w:rsidR="00826DAE" w:rsidRPr="00D0626E" w:rsidRDefault="00826DAE" w:rsidP="00D0626E">
            <w:pPr>
              <w:cnfStyle w:val="000000000000" w:firstRow="0" w:lastRow="0" w:firstColumn="0" w:lastColumn="0" w:oddVBand="0" w:evenVBand="0" w:oddHBand="0" w:evenHBand="0" w:firstRowFirstColumn="0" w:firstRowLastColumn="0" w:lastRowFirstColumn="0" w:lastRowLastColumn="0"/>
            </w:pPr>
            <w:r w:rsidRPr="00D0626E">
              <w:t>10,156.32</w:t>
            </w:r>
          </w:p>
        </w:tc>
        <w:tc>
          <w:tcPr>
            <w:cnfStyle w:val="000100000000" w:firstRow="0" w:lastRow="0" w:firstColumn="0" w:lastColumn="1" w:oddVBand="0" w:evenVBand="0" w:oddHBand="0" w:evenHBand="0" w:firstRowFirstColumn="0" w:firstRowLastColumn="0" w:lastRowFirstColumn="0" w:lastRowLastColumn="0"/>
            <w:tcW w:w="782" w:type="pct"/>
          </w:tcPr>
          <w:p w:rsidR="00826DAE" w:rsidRPr="00D0626E" w:rsidRDefault="00826DAE" w:rsidP="00D0626E"/>
        </w:tc>
      </w:tr>
      <w:tr w:rsidR="00826DAE" w:rsidRPr="00D0626E" w:rsidTr="00826DAE">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14" w:type="pct"/>
          </w:tcPr>
          <w:p w:rsidR="00826DAE" w:rsidRPr="00D0626E" w:rsidRDefault="00826DAE" w:rsidP="00D0626E">
            <w:r w:rsidRPr="00D0626E">
              <w:t>Total expenditure</w:t>
            </w:r>
          </w:p>
        </w:tc>
        <w:tc>
          <w:tcPr>
            <w:cnfStyle w:val="000010000000" w:firstRow="0" w:lastRow="0" w:firstColumn="0" w:lastColumn="0" w:oddVBand="1" w:evenVBand="0" w:oddHBand="0" w:evenHBand="0" w:firstRowFirstColumn="0" w:firstRowLastColumn="0" w:lastRowFirstColumn="0" w:lastRowLastColumn="0"/>
            <w:tcW w:w="1687" w:type="pct"/>
          </w:tcPr>
          <w:p w:rsidR="00826DAE" w:rsidRPr="00D0626E" w:rsidRDefault="00826DAE" w:rsidP="00D0626E">
            <w:r w:rsidRPr="00D0626E">
              <w:t>9,213,725.40</w:t>
            </w:r>
          </w:p>
        </w:tc>
        <w:tc>
          <w:tcPr>
            <w:tcW w:w="818" w:type="pct"/>
          </w:tcPr>
          <w:p w:rsidR="00826DAE" w:rsidRPr="00D0626E" w:rsidRDefault="00826DAE" w:rsidP="00D0626E">
            <w:pPr>
              <w:cnfStyle w:val="010000000000" w:firstRow="0" w:lastRow="1" w:firstColumn="0" w:lastColumn="0" w:oddVBand="0" w:evenVBand="0" w:oddHBand="0" w:evenHBand="0" w:firstRowFirstColumn="0" w:firstRowLastColumn="0" w:lastRowFirstColumn="0" w:lastRowLastColumn="0"/>
            </w:pPr>
            <w:r w:rsidRPr="00D0626E">
              <w:t>6,453,634.13</w:t>
            </w:r>
          </w:p>
        </w:tc>
        <w:tc>
          <w:tcPr>
            <w:cnfStyle w:val="000100000000" w:firstRow="0" w:lastRow="0" w:firstColumn="0" w:lastColumn="1" w:oddVBand="0" w:evenVBand="0" w:oddHBand="0" w:evenHBand="0" w:firstRowFirstColumn="0" w:firstRowLastColumn="0" w:lastRowFirstColumn="0" w:lastRowLastColumn="0"/>
            <w:tcW w:w="782" w:type="pct"/>
          </w:tcPr>
          <w:p w:rsidR="00826DAE" w:rsidRPr="00D0626E" w:rsidRDefault="00826DAE" w:rsidP="00D0626E"/>
        </w:tc>
      </w:tr>
    </w:tbl>
    <w:p w:rsidR="00D0626E" w:rsidRDefault="00D0626E" w:rsidP="00D0626E"/>
    <w:p w:rsidR="00D0626E" w:rsidRDefault="00D0626E" w:rsidP="00D0626E">
      <w:r>
        <w:br w:type="page"/>
      </w:r>
    </w:p>
    <w:p w:rsidR="007A01BD" w:rsidRPr="003F6306" w:rsidRDefault="00F82531" w:rsidP="00D0626E">
      <w:pPr>
        <w:pStyle w:val="Heading1"/>
      </w:pPr>
      <w:bookmarkStart w:id="96" w:name="_Toc496019855"/>
      <w:r w:rsidRPr="003F6306">
        <w:lastRenderedPageBreak/>
        <w:t>Appendix 1. Disclosure index</w:t>
      </w:r>
      <w:bookmarkEnd w:id="96"/>
    </w:p>
    <w:p w:rsidR="007A01BD" w:rsidRDefault="00F82531" w:rsidP="00D0626E">
      <w:r w:rsidRPr="003F6306">
        <w:t xml:space="preserve">Commission for Children and </w:t>
      </w:r>
      <w:r w:rsidRPr="003F6306">
        <w:rPr>
          <w:spacing w:val="-4"/>
        </w:rPr>
        <w:t xml:space="preserve">Young </w:t>
      </w:r>
      <w:r w:rsidRPr="003F6306">
        <w:t xml:space="preserve">People financial statements are now included in the accounts of  DHHS and, therefore, disclosures under ‘Financial statements required under Part 7 of the </w:t>
      </w:r>
      <w:r w:rsidRPr="003F6306">
        <w:rPr>
          <w:i/>
        </w:rPr>
        <w:t xml:space="preserve">Financial Management Act </w:t>
      </w:r>
      <w:r w:rsidRPr="003F6306">
        <w:rPr>
          <w:i/>
          <w:spacing w:val="-5"/>
        </w:rPr>
        <w:t>1994</w:t>
      </w:r>
      <w:r w:rsidRPr="003F6306">
        <w:rPr>
          <w:spacing w:val="-5"/>
        </w:rPr>
        <w:t xml:space="preserve">’, </w:t>
      </w:r>
      <w:r w:rsidRPr="003F6306">
        <w:t xml:space="preserve">‘Other requirements under Standing Direction </w:t>
      </w:r>
      <w:r w:rsidRPr="003F6306">
        <w:rPr>
          <w:spacing w:val="-4"/>
        </w:rPr>
        <w:t xml:space="preserve">5.2’, </w:t>
      </w:r>
      <w:r w:rsidRPr="003F6306">
        <w:t>and ‘Other disclosures are required by FRDs in notes to the financial statements’ are referenced in the DHHS report of operations and disclosure</w:t>
      </w:r>
      <w:r w:rsidRPr="003F6306">
        <w:rPr>
          <w:spacing w:val="5"/>
        </w:rPr>
        <w:t xml:space="preserve"> </w:t>
      </w:r>
      <w:r w:rsidRPr="003F6306">
        <w:t>index.</w:t>
      </w:r>
    </w:p>
    <w:p w:rsidR="00FD2369" w:rsidRDefault="00FD2369" w:rsidP="00D0626E"/>
    <w:tbl>
      <w:tblPr>
        <w:tblStyle w:val="LightList-Accent1"/>
        <w:tblW w:w="8393" w:type="dxa"/>
        <w:tblLayout w:type="fixed"/>
        <w:tblLook w:val="0620" w:firstRow="1" w:lastRow="0" w:firstColumn="0" w:lastColumn="0" w:noHBand="1" w:noVBand="1"/>
      </w:tblPr>
      <w:tblGrid>
        <w:gridCol w:w="1213"/>
        <w:gridCol w:w="5540"/>
        <w:gridCol w:w="222"/>
        <w:gridCol w:w="48"/>
        <w:gridCol w:w="1370"/>
      </w:tblGrid>
      <w:tr w:rsidR="00FD2369" w:rsidRPr="00892DE3" w:rsidTr="00FD2369">
        <w:trPr>
          <w:cnfStyle w:val="100000000000" w:firstRow="1" w:lastRow="0" w:firstColumn="0" w:lastColumn="0" w:oddVBand="0" w:evenVBand="0" w:oddHBand="0" w:evenHBand="0" w:firstRowFirstColumn="0" w:firstRowLastColumn="0" w:lastRowFirstColumn="0" w:lastRowLastColumn="0"/>
          <w:trHeight w:val="20"/>
        </w:trPr>
        <w:tc>
          <w:tcPr>
            <w:tcW w:w="1213" w:type="dxa"/>
          </w:tcPr>
          <w:p w:rsidR="00FD2369" w:rsidRPr="00892DE3" w:rsidRDefault="00FD2369" w:rsidP="00F601A7">
            <w:pPr>
              <w:rPr>
                <w:szCs w:val="17"/>
              </w:rPr>
            </w:pPr>
            <w:r w:rsidRPr="00892DE3">
              <w:rPr>
                <w:szCs w:val="17"/>
              </w:rPr>
              <w:t>Legislation</w:t>
            </w:r>
          </w:p>
        </w:tc>
        <w:tc>
          <w:tcPr>
            <w:tcW w:w="5540" w:type="dxa"/>
          </w:tcPr>
          <w:p w:rsidR="00FD2369" w:rsidRPr="00892DE3" w:rsidRDefault="00FD2369" w:rsidP="00F601A7">
            <w:pPr>
              <w:rPr>
                <w:szCs w:val="17"/>
              </w:rPr>
            </w:pPr>
            <w:r w:rsidRPr="00892DE3">
              <w:rPr>
                <w:szCs w:val="17"/>
              </w:rPr>
              <w:t>Requirement</w:t>
            </w:r>
          </w:p>
        </w:tc>
        <w:tc>
          <w:tcPr>
            <w:tcW w:w="1640" w:type="dxa"/>
            <w:gridSpan w:val="3"/>
          </w:tcPr>
          <w:p w:rsidR="00FD2369" w:rsidRPr="00892DE3" w:rsidRDefault="00FD2369" w:rsidP="00F601A7">
            <w:pPr>
              <w:rPr>
                <w:szCs w:val="17"/>
              </w:rPr>
            </w:pPr>
            <w:r w:rsidRPr="00892DE3">
              <w:rPr>
                <w:szCs w:val="17"/>
              </w:rPr>
              <w:t>Page reference</w:t>
            </w:r>
          </w:p>
        </w:tc>
      </w:tr>
      <w:tr w:rsidR="00FD2369" w:rsidRPr="00892DE3" w:rsidTr="00FD2369">
        <w:trPr>
          <w:trHeight w:val="20"/>
        </w:trPr>
        <w:tc>
          <w:tcPr>
            <w:tcW w:w="8393" w:type="dxa"/>
            <w:gridSpan w:val="5"/>
          </w:tcPr>
          <w:p w:rsidR="00FD2369" w:rsidRPr="00892DE3" w:rsidRDefault="00FD2369" w:rsidP="00F601A7">
            <w:pPr>
              <w:rPr>
                <w:i/>
                <w:color w:val="FFFFFF" w:themeColor="background1"/>
                <w:szCs w:val="17"/>
              </w:rPr>
            </w:pPr>
            <w:bookmarkStart w:id="97" w:name="_Toc133137617"/>
            <w:bookmarkStart w:id="98" w:name="_Toc133203935"/>
            <w:r w:rsidRPr="00892DE3">
              <w:rPr>
                <w:i/>
                <w:color w:val="FFFFFF" w:themeColor="background1"/>
                <w:szCs w:val="17"/>
              </w:rPr>
              <w:t>Ministerial Directions</w:t>
            </w:r>
            <w:bookmarkEnd w:id="97"/>
            <w:bookmarkEnd w:id="98"/>
            <w:r w:rsidRPr="00892DE3">
              <w:rPr>
                <w:i/>
                <w:color w:val="FFFFFF" w:themeColor="background1"/>
                <w:szCs w:val="17"/>
              </w:rPr>
              <w:t xml:space="preserve"> &amp; Financial Reporting Directions</w:t>
            </w:r>
          </w:p>
        </w:tc>
      </w:tr>
      <w:tr w:rsidR="00FD2369" w:rsidRPr="00892DE3" w:rsidTr="00FD2369">
        <w:trPr>
          <w:trHeight w:val="20"/>
        </w:trPr>
        <w:tc>
          <w:tcPr>
            <w:tcW w:w="8393" w:type="dxa"/>
            <w:gridSpan w:val="5"/>
          </w:tcPr>
          <w:p w:rsidR="00FD2369" w:rsidRPr="00892DE3" w:rsidRDefault="00FD2369" w:rsidP="00F601A7">
            <w:pPr>
              <w:spacing w:before="120"/>
              <w:rPr>
                <w:i/>
                <w:szCs w:val="17"/>
              </w:rPr>
            </w:pPr>
            <w:r w:rsidRPr="00892DE3">
              <w:rPr>
                <w:i/>
                <w:szCs w:val="17"/>
              </w:rPr>
              <w:t xml:space="preserve">Report of operations </w:t>
            </w:r>
          </w:p>
        </w:tc>
      </w:tr>
      <w:tr w:rsidR="00FD2369" w:rsidRPr="00892DE3" w:rsidTr="00FD2369">
        <w:trPr>
          <w:trHeight w:val="20"/>
        </w:trPr>
        <w:tc>
          <w:tcPr>
            <w:tcW w:w="8393" w:type="dxa"/>
            <w:gridSpan w:val="5"/>
          </w:tcPr>
          <w:p w:rsidR="00FD2369" w:rsidRPr="00892DE3" w:rsidRDefault="00FD2369" w:rsidP="00F601A7">
            <w:pPr>
              <w:spacing w:before="120"/>
              <w:rPr>
                <w:b/>
                <w:szCs w:val="17"/>
              </w:rPr>
            </w:pPr>
            <w:r w:rsidRPr="00892DE3">
              <w:rPr>
                <w:b/>
                <w:szCs w:val="17"/>
              </w:rPr>
              <w:t>Charter and purpose</w:t>
            </w: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Manner of establishment and the relevant Ministers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Purpose, functions, powers and duties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Key initiatives and projects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Nature and range of services provided</w:t>
            </w:r>
          </w:p>
        </w:tc>
        <w:tc>
          <w:tcPr>
            <w:tcW w:w="1370" w:type="dxa"/>
          </w:tcPr>
          <w:p w:rsidR="00FD2369" w:rsidRPr="00892DE3" w:rsidRDefault="00FD2369" w:rsidP="00F601A7">
            <w:pPr>
              <w:rPr>
                <w:szCs w:val="17"/>
              </w:rPr>
            </w:pPr>
          </w:p>
        </w:tc>
      </w:tr>
      <w:tr w:rsidR="00FD2369" w:rsidRPr="00892DE3" w:rsidTr="00FD2369">
        <w:trPr>
          <w:trHeight w:val="20"/>
        </w:trPr>
        <w:tc>
          <w:tcPr>
            <w:tcW w:w="8393" w:type="dxa"/>
            <w:gridSpan w:val="5"/>
          </w:tcPr>
          <w:p w:rsidR="00FD2369" w:rsidRPr="00892DE3" w:rsidRDefault="00FD2369" w:rsidP="00F601A7">
            <w:pPr>
              <w:spacing w:before="120"/>
              <w:rPr>
                <w:b/>
                <w:szCs w:val="17"/>
              </w:rPr>
            </w:pPr>
            <w:r w:rsidRPr="00892DE3">
              <w:rPr>
                <w:b/>
                <w:szCs w:val="17"/>
              </w:rPr>
              <w:t>Management and structure</w:t>
            </w: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Organisational structure </w:t>
            </w:r>
          </w:p>
        </w:tc>
        <w:tc>
          <w:tcPr>
            <w:tcW w:w="1370" w:type="dxa"/>
          </w:tcPr>
          <w:p w:rsidR="00FD2369" w:rsidRPr="00892DE3" w:rsidRDefault="00FD2369" w:rsidP="00F601A7">
            <w:pPr>
              <w:rPr>
                <w:szCs w:val="17"/>
              </w:rPr>
            </w:pPr>
          </w:p>
        </w:tc>
      </w:tr>
      <w:tr w:rsidR="00FD2369" w:rsidRPr="00892DE3" w:rsidTr="00FD2369">
        <w:trPr>
          <w:trHeight w:val="20"/>
        </w:trPr>
        <w:tc>
          <w:tcPr>
            <w:tcW w:w="8393" w:type="dxa"/>
            <w:gridSpan w:val="5"/>
          </w:tcPr>
          <w:p w:rsidR="00FD2369" w:rsidRPr="00892DE3" w:rsidRDefault="00FD2369" w:rsidP="00F601A7">
            <w:pPr>
              <w:spacing w:before="120"/>
              <w:rPr>
                <w:b/>
                <w:szCs w:val="17"/>
              </w:rPr>
            </w:pPr>
            <w:r w:rsidRPr="00892DE3">
              <w:rPr>
                <w:b/>
                <w:szCs w:val="17"/>
              </w:rPr>
              <w:t>Financial and other information</w:t>
            </w: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 xml:space="preserve">FRD 10A </w:t>
            </w:r>
          </w:p>
        </w:tc>
        <w:tc>
          <w:tcPr>
            <w:tcW w:w="5810" w:type="dxa"/>
            <w:gridSpan w:val="3"/>
          </w:tcPr>
          <w:p w:rsidR="00FD2369" w:rsidRPr="00892DE3" w:rsidRDefault="00FD2369" w:rsidP="00F601A7">
            <w:pPr>
              <w:rPr>
                <w:szCs w:val="17"/>
              </w:rPr>
            </w:pPr>
            <w:r w:rsidRPr="00892DE3">
              <w:rPr>
                <w:szCs w:val="17"/>
              </w:rPr>
              <w:t>Disclosure index</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12B</w:t>
            </w:r>
          </w:p>
        </w:tc>
        <w:tc>
          <w:tcPr>
            <w:tcW w:w="5810" w:type="dxa"/>
            <w:gridSpan w:val="3"/>
          </w:tcPr>
          <w:p w:rsidR="00FD2369" w:rsidRPr="00892DE3" w:rsidRDefault="00FD2369" w:rsidP="00F601A7">
            <w:pPr>
              <w:rPr>
                <w:szCs w:val="17"/>
              </w:rPr>
            </w:pPr>
            <w:r w:rsidRPr="00892DE3">
              <w:rPr>
                <w:szCs w:val="17"/>
              </w:rPr>
              <w:t>Disclosure of major contracts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 xml:space="preserve">FRD 15D </w:t>
            </w:r>
          </w:p>
        </w:tc>
        <w:tc>
          <w:tcPr>
            <w:tcW w:w="5810" w:type="dxa"/>
            <w:gridSpan w:val="3"/>
          </w:tcPr>
          <w:p w:rsidR="00FD2369" w:rsidRPr="00892DE3" w:rsidRDefault="00FD2369" w:rsidP="00F601A7">
            <w:pPr>
              <w:rPr>
                <w:szCs w:val="17"/>
              </w:rPr>
            </w:pPr>
            <w:r w:rsidRPr="00892DE3">
              <w:rPr>
                <w:szCs w:val="17"/>
              </w:rPr>
              <w:t>Executive officer disclosures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Employment and conduct principles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Occupational health and safety policy</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Summary of the financial results for the year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Significant changes in financial position during the year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Major changes or factors affecting performance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Subsequent events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Application and operation of </w:t>
            </w:r>
            <w:r w:rsidRPr="00892DE3">
              <w:rPr>
                <w:i/>
                <w:szCs w:val="17"/>
              </w:rPr>
              <w:t>Freedom of Information Act 1982</w:t>
            </w:r>
            <w:r w:rsidRPr="00892DE3">
              <w:rPr>
                <w:szCs w:val="17"/>
              </w:rPr>
              <w:t xml:space="preserve">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Compliance with building and maintenance provisions of </w:t>
            </w:r>
            <w:r w:rsidRPr="00892DE3">
              <w:rPr>
                <w:i/>
                <w:szCs w:val="17"/>
              </w:rPr>
              <w:t>Building Act 1993</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Statement on National Competition Policy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Application and operation of the </w:t>
            </w:r>
            <w:r w:rsidRPr="00892DE3">
              <w:rPr>
                <w:i/>
                <w:szCs w:val="17"/>
              </w:rPr>
              <w:t>Protected Disclosure Act 2012</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Del="006648CC"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Application and operation of the </w:t>
            </w:r>
            <w:r w:rsidRPr="00892DE3">
              <w:rPr>
                <w:i/>
                <w:szCs w:val="17"/>
              </w:rPr>
              <w:t>Carers Recognition Act 2012</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lastRenderedPageBreak/>
              <w:t>FRD 22H</w:t>
            </w:r>
          </w:p>
        </w:tc>
        <w:tc>
          <w:tcPr>
            <w:tcW w:w="5810" w:type="dxa"/>
            <w:gridSpan w:val="3"/>
          </w:tcPr>
          <w:p w:rsidR="00FD2369" w:rsidRPr="00892DE3" w:rsidRDefault="00FD2369" w:rsidP="00F601A7">
            <w:pPr>
              <w:rPr>
                <w:szCs w:val="17"/>
              </w:rPr>
            </w:pPr>
            <w:r w:rsidRPr="00892DE3">
              <w:rPr>
                <w:szCs w:val="17"/>
              </w:rPr>
              <w:t xml:space="preserve">Details of consultancies over $10 000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Details of consultancies under $10 000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Disclosure of government advertising expenditure</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Disclosure of ICT expenditure</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22H</w:t>
            </w:r>
          </w:p>
        </w:tc>
        <w:tc>
          <w:tcPr>
            <w:tcW w:w="5810" w:type="dxa"/>
            <w:gridSpan w:val="3"/>
          </w:tcPr>
          <w:p w:rsidR="00FD2369" w:rsidRPr="00892DE3" w:rsidRDefault="00FD2369" w:rsidP="00F601A7">
            <w:pPr>
              <w:rPr>
                <w:szCs w:val="17"/>
              </w:rPr>
            </w:pPr>
            <w:r w:rsidRPr="00892DE3">
              <w:rPr>
                <w:szCs w:val="17"/>
              </w:rPr>
              <w:t xml:space="preserve">Statement of availability of other information </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24C</w:t>
            </w:r>
          </w:p>
        </w:tc>
        <w:tc>
          <w:tcPr>
            <w:tcW w:w="5810" w:type="dxa"/>
            <w:gridSpan w:val="3"/>
          </w:tcPr>
          <w:p w:rsidR="00FD2369" w:rsidRPr="00892DE3" w:rsidRDefault="00FD2369" w:rsidP="00F601A7">
            <w:pPr>
              <w:rPr>
                <w:szCs w:val="17"/>
              </w:rPr>
            </w:pPr>
            <w:r w:rsidRPr="00892DE3">
              <w:rPr>
                <w:szCs w:val="17"/>
              </w:rPr>
              <w:t>Reporting of office</w:t>
            </w:r>
            <w:r w:rsidRPr="00892DE3">
              <w:rPr>
                <w:szCs w:val="17"/>
              </w:rPr>
              <w:noBreakHyphen/>
              <w:t>based environmental impacts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25C</w:t>
            </w:r>
          </w:p>
        </w:tc>
        <w:tc>
          <w:tcPr>
            <w:tcW w:w="5810" w:type="dxa"/>
            <w:gridSpan w:val="3"/>
          </w:tcPr>
          <w:p w:rsidR="00FD2369" w:rsidRPr="00892DE3" w:rsidRDefault="00FD2369" w:rsidP="00F601A7">
            <w:pPr>
              <w:rPr>
                <w:szCs w:val="17"/>
              </w:rPr>
            </w:pPr>
            <w:r w:rsidRPr="00892DE3">
              <w:rPr>
                <w:szCs w:val="17"/>
              </w:rPr>
              <w:t>Victorian Industry Participation Policy disclosures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FRD 29B</w:t>
            </w:r>
          </w:p>
        </w:tc>
        <w:tc>
          <w:tcPr>
            <w:tcW w:w="5810" w:type="dxa"/>
            <w:gridSpan w:val="3"/>
          </w:tcPr>
          <w:p w:rsidR="00FD2369" w:rsidRPr="00892DE3" w:rsidRDefault="00FD2369" w:rsidP="00F601A7">
            <w:pPr>
              <w:rPr>
                <w:szCs w:val="17"/>
              </w:rPr>
            </w:pPr>
            <w:r w:rsidRPr="00892DE3">
              <w:rPr>
                <w:szCs w:val="17"/>
              </w:rPr>
              <w:t>Workforce Data disclosures</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SD 5.2</w:t>
            </w:r>
          </w:p>
        </w:tc>
        <w:tc>
          <w:tcPr>
            <w:tcW w:w="5810" w:type="dxa"/>
            <w:gridSpan w:val="3"/>
          </w:tcPr>
          <w:p w:rsidR="00FD2369" w:rsidRPr="00892DE3" w:rsidRDefault="00FD2369" w:rsidP="00F601A7">
            <w:pPr>
              <w:rPr>
                <w:szCs w:val="17"/>
              </w:rPr>
            </w:pPr>
            <w:r w:rsidRPr="00892DE3">
              <w:rPr>
                <w:szCs w:val="17"/>
              </w:rPr>
              <w:t>Specific requirements under Standing Direction 5.2</w:t>
            </w:r>
          </w:p>
        </w:tc>
        <w:tc>
          <w:tcPr>
            <w:tcW w:w="1370" w:type="dxa"/>
          </w:tcPr>
          <w:p w:rsidR="00FD2369" w:rsidRPr="00892DE3" w:rsidRDefault="00FD2369" w:rsidP="00F601A7">
            <w:pPr>
              <w:rPr>
                <w:szCs w:val="17"/>
              </w:rPr>
            </w:pPr>
          </w:p>
        </w:tc>
      </w:tr>
      <w:tr w:rsidR="00FD2369" w:rsidRPr="00892DE3" w:rsidTr="00FD2369">
        <w:trPr>
          <w:trHeight w:val="20"/>
        </w:trPr>
        <w:tc>
          <w:tcPr>
            <w:tcW w:w="8393" w:type="dxa"/>
            <w:gridSpan w:val="5"/>
          </w:tcPr>
          <w:p w:rsidR="00FD2369" w:rsidRPr="00892DE3" w:rsidRDefault="00FD2369" w:rsidP="00F601A7">
            <w:pPr>
              <w:spacing w:before="120"/>
              <w:rPr>
                <w:b/>
                <w:szCs w:val="17"/>
              </w:rPr>
            </w:pPr>
            <w:r w:rsidRPr="00892DE3">
              <w:rPr>
                <w:b/>
                <w:szCs w:val="17"/>
              </w:rPr>
              <w:t>Compliance attestation and declaration</w:t>
            </w: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 xml:space="preserve">SD </w:t>
            </w:r>
            <w:r>
              <w:rPr>
                <w:szCs w:val="17"/>
              </w:rPr>
              <w:t>3.7.1</w:t>
            </w:r>
          </w:p>
        </w:tc>
        <w:tc>
          <w:tcPr>
            <w:tcW w:w="5810" w:type="dxa"/>
            <w:gridSpan w:val="3"/>
          </w:tcPr>
          <w:p w:rsidR="00FD2369" w:rsidRPr="00892DE3" w:rsidRDefault="00FD2369" w:rsidP="00F601A7">
            <w:pPr>
              <w:rPr>
                <w:szCs w:val="17"/>
              </w:rPr>
            </w:pPr>
            <w:r w:rsidRPr="00892DE3">
              <w:rPr>
                <w:szCs w:val="17"/>
              </w:rPr>
              <w:t>Attestation for compliance with Ministerial Standing Direction</w:t>
            </w:r>
          </w:p>
        </w:tc>
        <w:tc>
          <w:tcPr>
            <w:tcW w:w="1370" w:type="dxa"/>
          </w:tcPr>
          <w:p w:rsidR="00FD2369" w:rsidRPr="00892DE3" w:rsidRDefault="00FD2369" w:rsidP="00F601A7">
            <w:pPr>
              <w:rPr>
                <w:szCs w:val="17"/>
              </w:rPr>
            </w:pPr>
          </w:p>
        </w:tc>
      </w:tr>
      <w:tr w:rsidR="00FD2369" w:rsidRPr="00892DE3" w:rsidTr="00FD2369">
        <w:trPr>
          <w:trHeight w:val="20"/>
        </w:trPr>
        <w:tc>
          <w:tcPr>
            <w:tcW w:w="1213" w:type="dxa"/>
          </w:tcPr>
          <w:p w:rsidR="00FD2369" w:rsidRPr="00892DE3" w:rsidRDefault="00FD2369" w:rsidP="00F601A7">
            <w:pPr>
              <w:rPr>
                <w:szCs w:val="17"/>
              </w:rPr>
            </w:pPr>
            <w:r w:rsidRPr="00892DE3">
              <w:rPr>
                <w:szCs w:val="17"/>
              </w:rPr>
              <w:t>SD 5.2.3</w:t>
            </w:r>
          </w:p>
        </w:tc>
        <w:tc>
          <w:tcPr>
            <w:tcW w:w="5810" w:type="dxa"/>
            <w:gridSpan w:val="3"/>
          </w:tcPr>
          <w:p w:rsidR="00FD2369" w:rsidRPr="00892DE3" w:rsidRDefault="00FD2369" w:rsidP="00F601A7">
            <w:pPr>
              <w:rPr>
                <w:szCs w:val="17"/>
              </w:rPr>
            </w:pPr>
            <w:r w:rsidRPr="00892DE3">
              <w:rPr>
                <w:szCs w:val="17"/>
              </w:rPr>
              <w:t>Declaration in report of operations</w:t>
            </w:r>
          </w:p>
        </w:tc>
        <w:tc>
          <w:tcPr>
            <w:tcW w:w="1370" w:type="dxa"/>
          </w:tcPr>
          <w:p w:rsidR="00FD2369" w:rsidRPr="00892DE3" w:rsidRDefault="00FD2369" w:rsidP="00F601A7">
            <w:pPr>
              <w:rPr>
                <w:szCs w:val="17"/>
              </w:rPr>
            </w:pPr>
          </w:p>
        </w:tc>
      </w:tr>
      <w:tr w:rsidR="00FD2369" w:rsidRPr="00892DE3" w:rsidTr="00FD2369">
        <w:trPr>
          <w:trHeight w:val="20"/>
        </w:trPr>
        <w:tc>
          <w:tcPr>
            <w:tcW w:w="8393" w:type="dxa"/>
            <w:gridSpan w:val="5"/>
          </w:tcPr>
          <w:p w:rsidR="00FD2369" w:rsidRPr="00892DE3" w:rsidRDefault="00FD2369" w:rsidP="00F601A7">
            <w:pPr>
              <w:spacing w:before="120"/>
              <w:rPr>
                <w:b/>
                <w:szCs w:val="17"/>
              </w:rPr>
            </w:pPr>
            <w:r>
              <w:rPr>
                <w:b/>
                <w:szCs w:val="17"/>
              </w:rPr>
              <w:t>Legislation</w:t>
            </w:r>
          </w:p>
        </w:tc>
      </w:tr>
      <w:tr w:rsidR="00FD2369" w:rsidRPr="00892DE3" w:rsidTr="00FD2369">
        <w:trPr>
          <w:trHeight w:val="20"/>
        </w:trPr>
        <w:tc>
          <w:tcPr>
            <w:tcW w:w="6975" w:type="dxa"/>
            <w:gridSpan w:val="3"/>
          </w:tcPr>
          <w:p w:rsidR="00FD2369" w:rsidRPr="005C7F8E" w:rsidRDefault="00FD2369" w:rsidP="00F601A7">
            <w:pPr>
              <w:tabs>
                <w:tab w:val="left" w:pos="234"/>
              </w:tabs>
              <w:rPr>
                <w:i/>
                <w:szCs w:val="17"/>
              </w:rPr>
            </w:pPr>
            <w:r>
              <w:rPr>
                <w:i/>
                <w:szCs w:val="17"/>
              </w:rPr>
              <w:t>Freedom of Information Act 1982</w:t>
            </w:r>
          </w:p>
        </w:tc>
        <w:tc>
          <w:tcPr>
            <w:tcW w:w="1418" w:type="dxa"/>
            <w:gridSpan w:val="2"/>
          </w:tcPr>
          <w:p w:rsidR="00FD2369" w:rsidRPr="00892DE3" w:rsidRDefault="00FD2369" w:rsidP="00F601A7">
            <w:pPr>
              <w:rPr>
                <w:szCs w:val="17"/>
              </w:rPr>
            </w:pPr>
          </w:p>
        </w:tc>
      </w:tr>
      <w:tr w:rsidR="00FD2369" w:rsidRPr="00892DE3" w:rsidTr="00FD2369">
        <w:trPr>
          <w:trHeight w:val="20"/>
        </w:trPr>
        <w:tc>
          <w:tcPr>
            <w:tcW w:w="6975" w:type="dxa"/>
            <w:gridSpan w:val="3"/>
          </w:tcPr>
          <w:p w:rsidR="00FD2369" w:rsidRDefault="00FD2369" w:rsidP="00F601A7">
            <w:pPr>
              <w:tabs>
                <w:tab w:val="left" w:pos="234"/>
                <w:tab w:val="right" w:pos="6861"/>
              </w:tabs>
              <w:rPr>
                <w:i/>
                <w:szCs w:val="17"/>
              </w:rPr>
            </w:pPr>
            <w:r>
              <w:rPr>
                <w:i/>
                <w:szCs w:val="17"/>
              </w:rPr>
              <w:t>Building Act 1983</w:t>
            </w:r>
            <w:r>
              <w:rPr>
                <w:i/>
                <w:szCs w:val="17"/>
              </w:rPr>
              <w:tab/>
            </w:r>
            <w:r>
              <w:rPr>
                <w:i/>
                <w:szCs w:val="17"/>
              </w:rPr>
              <w:tab/>
              <w:t>a</w:t>
            </w:r>
          </w:p>
        </w:tc>
        <w:tc>
          <w:tcPr>
            <w:tcW w:w="1418" w:type="dxa"/>
            <w:gridSpan w:val="2"/>
          </w:tcPr>
          <w:p w:rsidR="00FD2369" w:rsidRPr="00892DE3" w:rsidRDefault="00FD2369" w:rsidP="00F601A7">
            <w:pPr>
              <w:rPr>
                <w:szCs w:val="17"/>
              </w:rPr>
            </w:pPr>
          </w:p>
        </w:tc>
      </w:tr>
      <w:tr w:rsidR="00FD2369" w:rsidRPr="00892DE3" w:rsidTr="00FD2369">
        <w:trPr>
          <w:trHeight w:val="20"/>
        </w:trPr>
        <w:tc>
          <w:tcPr>
            <w:tcW w:w="6975" w:type="dxa"/>
            <w:gridSpan w:val="3"/>
          </w:tcPr>
          <w:p w:rsidR="00FD2369" w:rsidRDefault="00FD2369" w:rsidP="00F601A7">
            <w:pPr>
              <w:tabs>
                <w:tab w:val="left" w:pos="251"/>
                <w:tab w:val="right" w:pos="6861"/>
              </w:tabs>
              <w:rPr>
                <w:i/>
                <w:szCs w:val="17"/>
              </w:rPr>
            </w:pPr>
            <w:r>
              <w:rPr>
                <w:i/>
                <w:szCs w:val="17"/>
              </w:rPr>
              <w:t>Protected Disclosure Act 2012</w:t>
            </w:r>
          </w:p>
        </w:tc>
        <w:tc>
          <w:tcPr>
            <w:tcW w:w="1418" w:type="dxa"/>
            <w:gridSpan w:val="2"/>
          </w:tcPr>
          <w:p w:rsidR="00FD2369" w:rsidRPr="00892DE3" w:rsidRDefault="00FD2369" w:rsidP="00F601A7">
            <w:pPr>
              <w:rPr>
                <w:szCs w:val="17"/>
              </w:rPr>
            </w:pPr>
          </w:p>
        </w:tc>
      </w:tr>
      <w:tr w:rsidR="00FD2369" w:rsidRPr="00892DE3" w:rsidTr="00FD2369">
        <w:trPr>
          <w:trHeight w:val="20"/>
        </w:trPr>
        <w:tc>
          <w:tcPr>
            <w:tcW w:w="6975" w:type="dxa"/>
            <w:gridSpan w:val="3"/>
          </w:tcPr>
          <w:p w:rsidR="00FD2369" w:rsidRDefault="00FD2369" w:rsidP="00F601A7">
            <w:pPr>
              <w:tabs>
                <w:tab w:val="left" w:pos="251"/>
                <w:tab w:val="right" w:pos="6861"/>
              </w:tabs>
              <w:rPr>
                <w:i/>
                <w:szCs w:val="17"/>
              </w:rPr>
            </w:pPr>
            <w:r>
              <w:rPr>
                <w:i/>
                <w:szCs w:val="17"/>
              </w:rPr>
              <w:t>Carers Recognition Act 2012</w:t>
            </w:r>
          </w:p>
        </w:tc>
        <w:tc>
          <w:tcPr>
            <w:tcW w:w="1418" w:type="dxa"/>
            <w:gridSpan w:val="2"/>
          </w:tcPr>
          <w:p w:rsidR="00FD2369" w:rsidRPr="00892DE3" w:rsidRDefault="00FD2369" w:rsidP="00F601A7">
            <w:pPr>
              <w:rPr>
                <w:szCs w:val="17"/>
              </w:rPr>
            </w:pPr>
          </w:p>
        </w:tc>
      </w:tr>
      <w:tr w:rsidR="00FD2369" w:rsidRPr="00892DE3" w:rsidTr="00FD2369">
        <w:trPr>
          <w:trHeight w:val="20"/>
        </w:trPr>
        <w:tc>
          <w:tcPr>
            <w:tcW w:w="6975" w:type="dxa"/>
            <w:gridSpan w:val="3"/>
          </w:tcPr>
          <w:p w:rsidR="00FD2369" w:rsidRDefault="00FD2369" w:rsidP="00F601A7">
            <w:pPr>
              <w:tabs>
                <w:tab w:val="left" w:pos="251"/>
                <w:tab w:val="right" w:pos="6861"/>
              </w:tabs>
              <w:rPr>
                <w:i/>
                <w:szCs w:val="17"/>
              </w:rPr>
            </w:pPr>
            <w:r>
              <w:rPr>
                <w:i/>
                <w:szCs w:val="17"/>
              </w:rPr>
              <w:t>Victorian Industry Participation Policy Act 2003</w:t>
            </w:r>
          </w:p>
        </w:tc>
        <w:tc>
          <w:tcPr>
            <w:tcW w:w="1418" w:type="dxa"/>
            <w:gridSpan w:val="2"/>
          </w:tcPr>
          <w:p w:rsidR="00FD2369" w:rsidRPr="00892DE3" w:rsidRDefault="00FD2369" w:rsidP="00F601A7">
            <w:pPr>
              <w:rPr>
                <w:szCs w:val="17"/>
              </w:rPr>
            </w:pPr>
          </w:p>
        </w:tc>
      </w:tr>
      <w:tr w:rsidR="00FD2369" w:rsidRPr="00892DE3" w:rsidTr="00FD2369">
        <w:trPr>
          <w:trHeight w:val="20"/>
        </w:trPr>
        <w:tc>
          <w:tcPr>
            <w:tcW w:w="6975" w:type="dxa"/>
            <w:gridSpan w:val="3"/>
          </w:tcPr>
          <w:p w:rsidR="00FD2369" w:rsidRDefault="00FD2369" w:rsidP="00F601A7">
            <w:pPr>
              <w:tabs>
                <w:tab w:val="left" w:pos="251"/>
                <w:tab w:val="right" w:pos="6861"/>
              </w:tabs>
              <w:rPr>
                <w:i/>
                <w:szCs w:val="17"/>
              </w:rPr>
            </w:pPr>
            <w:r>
              <w:rPr>
                <w:i/>
                <w:szCs w:val="17"/>
              </w:rPr>
              <w:t>Financial Management Act 1994</w:t>
            </w:r>
          </w:p>
        </w:tc>
        <w:tc>
          <w:tcPr>
            <w:tcW w:w="1418" w:type="dxa"/>
            <w:gridSpan w:val="2"/>
          </w:tcPr>
          <w:p w:rsidR="00FD2369" w:rsidRPr="00892DE3" w:rsidRDefault="00FD2369" w:rsidP="00F601A7">
            <w:pPr>
              <w:rPr>
                <w:szCs w:val="17"/>
              </w:rPr>
            </w:pPr>
          </w:p>
        </w:tc>
      </w:tr>
    </w:tbl>
    <w:p w:rsidR="00FD2369" w:rsidRPr="003F6306" w:rsidRDefault="00FD2369" w:rsidP="00D0626E"/>
    <w:p w:rsidR="00D0626E" w:rsidRDefault="00D0626E" w:rsidP="00D0626E">
      <w:r>
        <w:br w:type="page"/>
      </w:r>
    </w:p>
    <w:p w:rsidR="007A01BD" w:rsidRPr="003F6306" w:rsidRDefault="00F82531" w:rsidP="00D0626E">
      <w:pPr>
        <w:pStyle w:val="Heading1"/>
      </w:pPr>
      <w:bookmarkStart w:id="99" w:name="_Toc496019856"/>
      <w:r w:rsidRPr="003F6306">
        <w:lastRenderedPageBreak/>
        <w:t>Appendix 2. Governance and organisational structure</w:t>
      </w:r>
      <w:bookmarkEnd w:id="99"/>
    </w:p>
    <w:p w:rsidR="007A01BD" w:rsidRPr="003F6306" w:rsidRDefault="00F82531" w:rsidP="00D0626E">
      <w:pPr>
        <w:pStyle w:val="Heading2"/>
      </w:pPr>
      <w:bookmarkStart w:id="100" w:name="_Toc496019857"/>
      <w:r w:rsidRPr="003F6306">
        <w:t>The Commissioners</w:t>
      </w:r>
      <w:bookmarkEnd w:id="100"/>
    </w:p>
    <w:p w:rsidR="007A01BD" w:rsidRPr="003F6306" w:rsidRDefault="00F82531" w:rsidP="00D0626E">
      <w:pPr>
        <w:pStyle w:val="Heading3"/>
      </w:pPr>
      <w:r w:rsidRPr="00D0626E">
        <w:t>Principal</w:t>
      </w:r>
      <w:r w:rsidRPr="003F6306">
        <w:t xml:space="preserve"> Commissioner</w:t>
      </w:r>
    </w:p>
    <w:p w:rsidR="007A01BD" w:rsidRPr="003F6306" w:rsidRDefault="00F82531" w:rsidP="00D0626E">
      <w:r w:rsidRPr="003F6306">
        <w:t xml:space="preserve">Liana Buchanan was appointed Principal Commissioner for Children and </w:t>
      </w:r>
      <w:r w:rsidRPr="003F6306">
        <w:rPr>
          <w:spacing w:val="-4"/>
        </w:rPr>
        <w:t xml:space="preserve">Young  </w:t>
      </w:r>
      <w:r w:rsidRPr="003F6306">
        <w:t xml:space="preserve">People in April </w:t>
      </w:r>
      <w:r w:rsidRPr="003F6306">
        <w:rPr>
          <w:spacing w:val="-4"/>
        </w:rPr>
        <w:t xml:space="preserve">2016. </w:t>
      </w:r>
      <w:r w:rsidRPr="003F6306">
        <w:t>The Principal Commissioner has all the functions and powers of the Commission and any other powers or functions conferred on her by the CCYP Act or any other</w:t>
      </w:r>
      <w:r w:rsidRPr="003F6306">
        <w:rPr>
          <w:spacing w:val="1"/>
        </w:rPr>
        <w:t xml:space="preserve"> </w:t>
      </w:r>
      <w:r w:rsidRPr="003F6306">
        <w:t>Act.</w:t>
      </w:r>
    </w:p>
    <w:p w:rsidR="007A01BD" w:rsidRPr="003F6306" w:rsidRDefault="00F82531" w:rsidP="00D0626E">
      <w:pPr>
        <w:pStyle w:val="Heading3"/>
      </w:pPr>
      <w:r w:rsidRPr="003F6306">
        <w:t>Commissioner for Aboriginal Children and Young People</w:t>
      </w:r>
    </w:p>
    <w:p w:rsidR="007A01BD" w:rsidRPr="003F6306" w:rsidRDefault="00F82531" w:rsidP="00D0626E">
      <w:r w:rsidRPr="003F6306">
        <w:t xml:space="preserve">Andrew Jackomos was appointed as the inaugural Commissioner for Aboriginal Children and </w:t>
      </w:r>
      <w:r w:rsidRPr="003F6306">
        <w:rPr>
          <w:spacing w:val="-4"/>
        </w:rPr>
        <w:t xml:space="preserve">Young </w:t>
      </w:r>
      <w:r w:rsidRPr="003F6306">
        <w:t xml:space="preserve">People in July </w:t>
      </w:r>
      <w:r w:rsidRPr="003F6306">
        <w:rPr>
          <w:spacing w:val="-4"/>
        </w:rPr>
        <w:t xml:space="preserve">2013. </w:t>
      </w:r>
      <w:r w:rsidRPr="003F6306">
        <w:t>He is responsible for leading the functions of</w:t>
      </w:r>
      <w:r w:rsidRPr="003F6306">
        <w:rPr>
          <w:spacing w:val="22"/>
        </w:rPr>
        <w:t xml:space="preserve"> </w:t>
      </w:r>
      <w:r w:rsidRPr="003F6306">
        <w:t>the</w:t>
      </w:r>
      <w:r w:rsidR="00D0626E">
        <w:t xml:space="preserve"> </w:t>
      </w:r>
      <w:r w:rsidRPr="003F6306">
        <w:t>Commission relating to Aboriginal children and young people.</w:t>
      </w:r>
    </w:p>
    <w:p w:rsidR="007A01BD" w:rsidRPr="003F6306" w:rsidRDefault="00F82531" w:rsidP="00D0626E">
      <w:pPr>
        <w:pStyle w:val="Heading2"/>
      </w:pPr>
      <w:bookmarkStart w:id="101" w:name="_Toc496019858"/>
      <w:r w:rsidRPr="003F6306">
        <w:t>Executive officers</w:t>
      </w:r>
      <w:bookmarkEnd w:id="101"/>
    </w:p>
    <w:p w:rsidR="007A01BD" w:rsidRPr="003F6306" w:rsidRDefault="00F82531" w:rsidP="00D0626E">
      <w:pPr>
        <w:pStyle w:val="Heading3"/>
      </w:pPr>
      <w:r w:rsidRPr="00D0626E">
        <w:t>Brenda</w:t>
      </w:r>
      <w:r w:rsidRPr="003F6306">
        <w:t xml:space="preserve"> Boland</w:t>
      </w:r>
    </w:p>
    <w:p w:rsidR="007A01BD" w:rsidRPr="003F6306" w:rsidRDefault="00F82531" w:rsidP="00D0626E">
      <w:r w:rsidRPr="003F6306">
        <w:t>Brenda Boland is Chief Executive Officer of the Commission. She provides operational leadership to the Commission and ensures its effective and efficient management.</w:t>
      </w:r>
    </w:p>
    <w:p w:rsidR="007A01BD" w:rsidRPr="003F6306" w:rsidRDefault="00F82531" w:rsidP="00D0626E">
      <w:pPr>
        <w:pStyle w:val="Heading3"/>
      </w:pPr>
      <w:r w:rsidRPr="00D0626E">
        <w:t>Meena</w:t>
      </w:r>
      <w:r w:rsidRPr="003F6306">
        <w:t xml:space="preserve"> Naidu</w:t>
      </w:r>
    </w:p>
    <w:p w:rsidR="007A01BD" w:rsidRPr="003F6306" w:rsidRDefault="00F82531" w:rsidP="00D0626E">
      <w:r w:rsidRPr="003F6306">
        <w:t>Meena Naidu is Executive Officer, Child Safe Standards and Reportable Conduct. She is responsible for planning, establishing and implementing the operational components of the Reportable Conduct Scheme and Child Safe Standards.</w:t>
      </w:r>
    </w:p>
    <w:p w:rsidR="007A01BD" w:rsidRPr="00D0626E" w:rsidRDefault="00F82531" w:rsidP="00FD2369">
      <w:pPr>
        <w:pStyle w:val="Heading2"/>
      </w:pPr>
      <w:bookmarkStart w:id="102" w:name="_Toc496019859"/>
      <w:r w:rsidRPr="00D0626E">
        <w:t>Organisational structure as at 30 June 2017</w:t>
      </w:r>
      <w:bookmarkEnd w:id="102"/>
    </w:p>
    <w:p w:rsidR="007A01BD" w:rsidRPr="003F6306" w:rsidRDefault="00FD2369">
      <w:pPr>
        <w:pStyle w:val="BodyText"/>
        <w:spacing w:before="5"/>
        <w:rPr>
          <w:rFonts w:ascii="HelveticaNeue-Light"/>
          <w:sz w:val="17"/>
        </w:rPr>
      </w:pPr>
      <w:r>
        <w:rPr>
          <w:rFonts w:ascii="HelveticaNeue-Light"/>
          <w:noProof/>
          <w:sz w:val="17"/>
          <w:lang w:val="en-AU" w:eastAsia="en-AU"/>
        </w:rPr>
        <w:drawing>
          <wp:inline distT="0" distB="0" distL="0" distR="0" wp14:anchorId="7D1B93CA" wp14:editId="260194AF">
            <wp:extent cx="5761990" cy="28066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990" cy="2806678"/>
                    </a:xfrm>
                    <a:prstGeom prst="rect">
                      <a:avLst/>
                    </a:prstGeom>
                    <a:noFill/>
                    <a:ln>
                      <a:noFill/>
                    </a:ln>
                  </pic:spPr>
                </pic:pic>
              </a:graphicData>
            </a:graphic>
          </wp:inline>
        </w:drawing>
      </w:r>
    </w:p>
    <w:p w:rsidR="007A01BD" w:rsidRPr="003F6306" w:rsidRDefault="00F82531" w:rsidP="00FB2DB6">
      <w:pPr>
        <w:pStyle w:val="Heading2"/>
      </w:pPr>
      <w:bookmarkStart w:id="103" w:name="_Toc496019860"/>
      <w:r w:rsidRPr="003F6306">
        <w:t>Audit and Risk Committee membership and roles</w:t>
      </w:r>
      <w:bookmarkEnd w:id="103"/>
    </w:p>
    <w:p w:rsidR="007A01BD" w:rsidRPr="003F6306" w:rsidRDefault="00F82531" w:rsidP="00FB2DB6">
      <w:r w:rsidRPr="003F6306">
        <w:t>The Audit and Risk Committee consists of the following members:</w:t>
      </w:r>
    </w:p>
    <w:p w:rsidR="007A01BD" w:rsidRPr="003F6306" w:rsidRDefault="00F82531" w:rsidP="00FB2DB6">
      <w:pPr>
        <w:pStyle w:val="Bullets"/>
      </w:pPr>
      <w:r w:rsidRPr="003F6306">
        <w:t>David Gibbs,</w:t>
      </w:r>
      <w:r w:rsidRPr="003F6306">
        <w:rPr>
          <w:spacing w:val="16"/>
        </w:rPr>
        <w:t xml:space="preserve"> </w:t>
      </w:r>
      <w:r w:rsidRPr="003F6306">
        <w:t>Chairperson</w:t>
      </w:r>
    </w:p>
    <w:p w:rsidR="007A01BD" w:rsidRPr="003F6306" w:rsidRDefault="00F82531" w:rsidP="00FB2DB6">
      <w:pPr>
        <w:pStyle w:val="Bullets"/>
      </w:pPr>
      <w:r w:rsidRPr="003F6306">
        <w:t>Sue Crook, Independent</w:t>
      </w:r>
      <w:r w:rsidRPr="003F6306">
        <w:rPr>
          <w:spacing w:val="10"/>
        </w:rPr>
        <w:t xml:space="preserve"> </w:t>
      </w:r>
      <w:r w:rsidRPr="003F6306">
        <w:t>Member.</w:t>
      </w:r>
    </w:p>
    <w:p w:rsidR="007A01BD" w:rsidRPr="003F6306" w:rsidRDefault="00F82531" w:rsidP="00FB2DB6">
      <w:r w:rsidRPr="003F6306">
        <w:lastRenderedPageBreak/>
        <w:t>The primary role of the Audit and Risk Committee is to review and advise the executive of the Commission on matters of financial accountability, internal financial control, and risk management.</w:t>
      </w:r>
    </w:p>
    <w:p w:rsidR="007A01BD" w:rsidRPr="003F6306" w:rsidRDefault="00F82531" w:rsidP="00FB2DB6">
      <w:r w:rsidRPr="003F6306">
        <w:t>The Audit and Risk Committee provides oversight and advice to the executive of the Commission in relation to the:</w:t>
      </w:r>
    </w:p>
    <w:p w:rsidR="007A01BD" w:rsidRPr="00FB2DB6" w:rsidRDefault="00F82531" w:rsidP="00FB2DB6">
      <w:pPr>
        <w:pStyle w:val="Bullets"/>
      </w:pPr>
      <w:r w:rsidRPr="00FB2DB6">
        <w:t>Commission’s financial performance</w:t>
      </w:r>
    </w:p>
    <w:p w:rsidR="007A01BD" w:rsidRPr="00FB2DB6" w:rsidRDefault="00F82531" w:rsidP="00FB2DB6">
      <w:pPr>
        <w:pStyle w:val="Bullets"/>
      </w:pPr>
      <w:r w:rsidRPr="00FB2DB6">
        <w:t>Commission’s financial reporting processes, both internal and external</w:t>
      </w:r>
    </w:p>
    <w:p w:rsidR="007A01BD" w:rsidRPr="00FB2DB6" w:rsidRDefault="00F82531" w:rsidP="00FB2DB6">
      <w:pPr>
        <w:pStyle w:val="Bullets"/>
      </w:pPr>
      <w:r w:rsidRPr="00FB2DB6">
        <w:t>development, operation and implementation of the Commission’s risk management framework</w:t>
      </w:r>
    </w:p>
    <w:p w:rsidR="007A01BD" w:rsidRPr="00FB2DB6" w:rsidRDefault="00F82531" w:rsidP="00FB2DB6">
      <w:pPr>
        <w:pStyle w:val="Bullets"/>
      </w:pPr>
      <w:r w:rsidRPr="00FB2DB6">
        <w:t>charter, scope of work, performance and independence of the Commission’s internal audit function</w:t>
      </w:r>
    </w:p>
    <w:p w:rsidR="007A01BD" w:rsidRPr="00FB2DB6" w:rsidRDefault="00F82531" w:rsidP="00FB2DB6">
      <w:pPr>
        <w:pStyle w:val="Bullets"/>
      </w:pPr>
      <w:r w:rsidRPr="00FB2DB6">
        <w:t>scope of work of the Commission’s external auditor</w:t>
      </w:r>
    </w:p>
    <w:p w:rsidR="007A01BD" w:rsidRPr="00FB2DB6" w:rsidRDefault="00F82531" w:rsidP="00FB2DB6">
      <w:pPr>
        <w:pStyle w:val="Bullets"/>
      </w:pPr>
      <w:r w:rsidRPr="00FB2DB6">
        <w:t>matters of accountability and internal control affecting the financial operations of the Commission</w:t>
      </w:r>
    </w:p>
    <w:p w:rsidR="007A01BD" w:rsidRPr="00FB2DB6" w:rsidRDefault="00F82531" w:rsidP="00FB2DB6">
      <w:pPr>
        <w:pStyle w:val="Bullets"/>
      </w:pPr>
      <w:r w:rsidRPr="00FB2DB6">
        <w:t>effectiveness of management information systems and other systems of internal financial control</w:t>
      </w:r>
    </w:p>
    <w:p w:rsidR="00FB2DB6" w:rsidRPr="00FB2DB6" w:rsidRDefault="00F82531" w:rsidP="00FB2DB6">
      <w:pPr>
        <w:pStyle w:val="Bullets"/>
        <w:rPr>
          <w:b/>
          <w:sz w:val="26"/>
        </w:rPr>
      </w:pPr>
      <w:r w:rsidRPr="00FB2DB6">
        <w:t>acceptability, disclosure of and correct accounting treatment for significant transactions that are not part of the Commission’s</w:t>
      </w:r>
      <w:r w:rsidRPr="003F6306">
        <w:t xml:space="preserve"> normal course of</w:t>
      </w:r>
      <w:r w:rsidRPr="00FB2DB6">
        <w:rPr>
          <w:spacing w:val="16"/>
        </w:rPr>
        <w:t xml:space="preserve"> </w:t>
      </w:r>
      <w:r w:rsidRPr="003F6306">
        <w:t>business.</w:t>
      </w:r>
    </w:p>
    <w:p w:rsidR="007A01BD" w:rsidRPr="00FB2DB6" w:rsidRDefault="00FB2DB6" w:rsidP="00FB2DB6">
      <w:pPr>
        <w:pStyle w:val="Heading2"/>
      </w:pPr>
      <w:bookmarkStart w:id="104" w:name="_Toc496019861"/>
      <w:r>
        <w:t>O</w:t>
      </w:r>
      <w:r w:rsidR="00F82531" w:rsidRPr="00FB2DB6">
        <w:t>ccupational health and safety</w:t>
      </w:r>
      <w:bookmarkEnd w:id="104"/>
    </w:p>
    <w:p w:rsidR="007A01BD" w:rsidRPr="003F6306" w:rsidRDefault="00F82531" w:rsidP="00FB2DB6">
      <w:r w:rsidRPr="003F6306">
        <w:rPr>
          <w:spacing w:val="-3"/>
        </w:rPr>
        <w:t xml:space="preserve">We </w:t>
      </w:r>
      <w:r w:rsidRPr="003F6306">
        <w:t xml:space="preserve">are committed to ensuring all staff remain safe and healthy at work in accordance to  the Commission’s obligations under the </w:t>
      </w:r>
      <w:r w:rsidRPr="003F6306">
        <w:rPr>
          <w:i/>
        </w:rPr>
        <w:t xml:space="preserve">Occupational  Health  and  Safety  Act  2004 </w:t>
      </w:r>
      <w:r w:rsidRPr="003F6306">
        <w:t>and the Occupational Health and Safety Regulations</w:t>
      </w:r>
      <w:r w:rsidRPr="003F6306">
        <w:rPr>
          <w:spacing w:val="6"/>
        </w:rPr>
        <w:t xml:space="preserve"> </w:t>
      </w:r>
      <w:r w:rsidRPr="003F6306">
        <w:rPr>
          <w:spacing w:val="-5"/>
        </w:rPr>
        <w:t>2007.</w:t>
      </w:r>
    </w:p>
    <w:p w:rsidR="007A01BD" w:rsidRPr="003F6306" w:rsidRDefault="00F82531" w:rsidP="00FB2DB6">
      <w:r w:rsidRPr="003F6306">
        <w:t>In 2016–17 we continued our ongoing internal safety reporting process, workplace inspections, ergonomic assessments for staff and an Employee Assistance Program.</w:t>
      </w:r>
    </w:p>
    <w:p w:rsidR="007A01BD" w:rsidRPr="003F6306" w:rsidRDefault="00F82531" w:rsidP="00FB2DB6">
      <w:r w:rsidRPr="003F6306">
        <w:t>We also engaged Medibank Health Solutions to deliver expert wellbeing support to all staff at the Commission. The Wellbeing Check program consists of bi-monthly telephone-based counselling for staff to discuss any issues they may be experiencing, either as a result of the subject matter they deal with at work or any personal concerns.</w:t>
      </w:r>
    </w:p>
    <w:p w:rsidR="007A01BD" w:rsidRPr="003F6306" w:rsidRDefault="00F82531" w:rsidP="00FB2DB6">
      <w:pPr>
        <w:pStyle w:val="Heading3"/>
      </w:pPr>
      <w:r w:rsidRPr="003F6306">
        <w:t>Injuries and incident management</w:t>
      </w:r>
    </w:p>
    <w:p w:rsidR="007A01BD" w:rsidRPr="003F6306" w:rsidRDefault="00F82531" w:rsidP="00FB2DB6">
      <w:r w:rsidRPr="003F6306">
        <w:t>During 2016–17 there were no reported injuries. There were two recorded major incidents:</w:t>
      </w:r>
    </w:p>
    <w:p w:rsidR="007A01BD" w:rsidRPr="003F6306" w:rsidRDefault="00F82531" w:rsidP="00FB2DB6">
      <w:pPr>
        <w:pStyle w:val="Bullets"/>
      </w:pPr>
      <w:r w:rsidRPr="003F6306">
        <w:t xml:space="preserve">In January </w:t>
      </w:r>
      <w:r w:rsidRPr="003F6306">
        <w:rPr>
          <w:spacing w:val="-9"/>
        </w:rPr>
        <w:t xml:space="preserve">2017, </w:t>
      </w:r>
      <w:r w:rsidRPr="003F6306">
        <w:t>staff were exposed</w:t>
      </w:r>
      <w:r w:rsidRPr="003F6306">
        <w:rPr>
          <w:spacing w:val="20"/>
        </w:rPr>
        <w:t xml:space="preserve"> </w:t>
      </w:r>
      <w:r w:rsidRPr="003F6306">
        <w:t>to</w:t>
      </w:r>
      <w:r w:rsidR="00FB2DB6">
        <w:t xml:space="preserve"> </w:t>
      </w:r>
      <w:r w:rsidRPr="003F6306">
        <w:t>an incident in Bourke Street in which a driver intentionally hit pedestrians. Group debriefing was offered to all staff on the day of the incident and in the week</w:t>
      </w:r>
      <w:r w:rsidRPr="00FB2DB6">
        <w:rPr>
          <w:spacing w:val="8"/>
        </w:rPr>
        <w:t xml:space="preserve"> </w:t>
      </w:r>
      <w:r w:rsidRPr="003F6306">
        <w:t>following.</w:t>
      </w:r>
      <w:r w:rsidR="00FB2DB6">
        <w:t xml:space="preserve"> </w:t>
      </w:r>
      <w:r w:rsidRPr="003F6306">
        <w:t>Individual counselling was available to staff in the weeks following the incident.</w:t>
      </w:r>
    </w:p>
    <w:p w:rsidR="007A01BD" w:rsidRPr="003F6306" w:rsidRDefault="00F82531" w:rsidP="00FB2DB6">
      <w:pPr>
        <w:pStyle w:val="Bullets"/>
      </w:pPr>
      <w:r w:rsidRPr="003F6306">
        <w:t xml:space="preserve">In January </w:t>
      </w:r>
      <w:r w:rsidRPr="003F6306">
        <w:rPr>
          <w:spacing w:val="-9"/>
        </w:rPr>
        <w:t xml:space="preserve">2017, </w:t>
      </w:r>
      <w:r w:rsidRPr="003F6306">
        <w:t>staff and volunteers were on site at a youth justice facility during a lockdown caused by an escape incident. Group debriefing and individual counselling were provided to staff and volunteers who were</w:t>
      </w:r>
      <w:r w:rsidRPr="003F6306">
        <w:rPr>
          <w:spacing w:val="-4"/>
        </w:rPr>
        <w:t xml:space="preserve"> </w:t>
      </w:r>
      <w:r w:rsidRPr="003F6306">
        <w:t>affected.</w:t>
      </w:r>
    </w:p>
    <w:p w:rsidR="007A01BD" w:rsidRPr="003F6306" w:rsidRDefault="00F82531" w:rsidP="00FB2DB6">
      <w:pPr>
        <w:pStyle w:val="Heading2"/>
      </w:pPr>
      <w:bookmarkStart w:id="105" w:name="_Toc496019862"/>
      <w:r w:rsidRPr="003F6306">
        <w:t>Employment and conduct principles</w:t>
      </w:r>
      <w:bookmarkEnd w:id="105"/>
    </w:p>
    <w:p w:rsidR="007A01BD" w:rsidRPr="003F6306" w:rsidRDefault="00F82531" w:rsidP="00FB2DB6">
      <w:r w:rsidRPr="003F6306">
        <w:rPr>
          <w:spacing w:val="-3"/>
        </w:rPr>
        <w:t xml:space="preserve">We  </w:t>
      </w:r>
      <w:r w:rsidRPr="003F6306">
        <w:t>are committed to applying merit and equity principles when appointing staff. Our selection processes ensure that applicants are assessed  and  evaluated  fairly  and  equitably on the basis of the key selection criteria and other accountabilities without discrimination. Employees have been correctly classified in workforce data</w:t>
      </w:r>
      <w:r w:rsidRPr="003F6306">
        <w:rPr>
          <w:spacing w:val="17"/>
        </w:rPr>
        <w:t xml:space="preserve"> </w:t>
      </w:r>
      <w:r w:rsidRPr="003F6306">
        <w:t>collections.</w:t>
      </w:r>
    </w:p>
    <w:p w:rsidR="007A01BD" w:rsidRPr="003F6306" w:rsidRDefault="00F82531" w:rsidP="00FB2DB6">
      <w:pPr>
        <w:pStyle w:val="Heading3"/>
      </w:pPr>
      <w:r w:rsidRPr="003F6306">
        <w:lastRenderedPageBreak/>
        <w:t>Our commitment to child safety</w:t>
      </w:r>
    </w:p>
    <w:p w:rsidR="007A01BD" w:rsidRPr="003F6306" w:rsidRDefault="00F82531" w:rsidP="00FB2DB6">
      <w:r w:rsidRPr="003F6306">
        <w:rPr>
          <w:spacing w:val="-3"/>
        </w:rPr>
        <w:t xml:space="preserve">We </w:t>
      </w:r>
      <w:r w:rsidRPr="003F6306">
        <w:t>are committed to providing a child-safe and child-friendly environment, where children and young people with whom we have  contact are safe and feel safe, and are able to participate in decisions that affect their lives. Our Child Safe Policy and Child Safe Code of Conduct, which are available on our</w:t>
      </w:r>
      <w:r w:rsidRPr="003F6306">
        <w:rPr>
          <w:spacing w:val="10"/>
        </w:rPr>
        <w:t xml:space="preserve"> </w:t>
      </w:r>
      <w:r w:rsidRPr="003F6306">
        <w:t>website,</w:t>
      </w:r>
      <w:r w:rsidR="00FB2DB6">
        <w:t xml:space="preserve"> </w:t>
      </w:r>
      <w:r w:rsidRPr="003F6306">
        <w:t>apply to the Commissioners, staff, contractors, volunteers and authorised persons engaged by the Commission.</w:t>
      </w:r>
    </w:p>
    <w:p w:rsidR="00F601A7" w:rsidRDefault="00F601A7" w:rsidP="00FB2DB6">
      <w:pPr>
        <w:sectPr w:rsidR="00F601A7" w:rsidSect="00C74A3D">
          <w:footerReference w:type="default" r:id="rId18"/>
          <w:pgSz w:w="11910" w:h="16840"/>
          <w:pgMar w:top="1134" w:right="1418" w:bottom="1701" w:left="1418" w:header="720" w:footer="285" w:gutter="0"/>
          <w:cols w:space="720"/>
        </w:sectPr>
      </w:pPr>
    </w:p>
    <w:p w:rsidR="007A01BD" w:rsidRPr="003F6306" w:rsidRDefault="00F82531" w:rsidP="00FB2DB6">
      <w:pPr>
        <w:pStyle w:val="Heading1"/>
      </w:pPr>
      <w:bookmarkStart w:id="106" w:name="_Toc496019863"/>
      <w:r w:rsidRPr="003F6306">
        <w:lastRenderedPageBreak/>
        <w:t>Appendix 3. Workforce data</w:t>
      </w:r>
      <w:bookmarkEnd w:id="106"/>
    </w:p>
    <w:p w:rsidR="007A01BD" w:rsidRPr="003F6306" w:rsidRDefault="00F82531" w:rsidP="00FB2DB6">
      <w:pPr>
        <w:pStyle w:val="Heading2"/>
      </w:pPr>
      <w:bookmarkStart w:id="107" w:name="_Toc496019864"/>
      <w:r w:rsidRPr="003F6306">
        <w:t>Public sector values and employment principles</w:t>
      </w:r>
      <w:bookmarkEnd w:id="107"/>
    </w:p>
    <w:p w:rsidR="00FB2DB6" w:rsidRDefault="00F82531" w:rsidP="00FB2DB6">
      <w:r w:rsidRPr="003F6306">
        <w:t>The Code of Conduct for Victorian Public Sector Employees of Special Bodies applies within the Commission.</w:t>
      </w:r>
    </w:p>
    <w:p w:rsidR="007A01BD" w:rsidRPr="003F6306" w:rsidRDefault="00F82531" w:rsidP="00FB2DB6">
      <w:pPr>
        <w:pStyle w:val="Heading2"/>
      </w:pPr>
      <w:bookmarkStart w:id="108" w:name="_Toc496019865"/>
      <w:r w:rsidRPr="003F6306">
        <w:t>Comparative workforce data</w:t>
      </w:r>
      <w:bookmarkEnd w:id="108"/>
    </w:p>
    <w:p w:rsidR="00FB2DB6" w:rsidRDefault="00F82531" w:rsidP="00FB2DB6">
      <w:r w:rsidRPr="003F6306">
        <w:t>We employed 53 people as at 30 June 2017,</w:t>
      </w:r>
      <w:r w:rsidR="00FB2DB6">
        <w:t xml:space="preserve"> </w:t>
      </w:r>
      <w:r w:rsidR="00FB2DB6" w:rsidRPr="003F6306">
        <w:t xml:space="preserve"> </w:t>
      </w:r>
      <w:r w:rsidRPr="003F6306">
        <w:t>a 70 per cent increase from the same time last year (Table 14).</w:t>
      </w:r>
    </w:p>
    <w:p w:rsidR="007A01BD" w:rsidRDefault="00F82531" w:rsidP="00FB2DB6">
      <w:r w:rsidRPr="003F6306">
        <w:t>This increase was due to work in establishing our new functions, the Child Safe Standards and Reportable Conduct Scheme. During this transition, we also increased the number of employees on fixed-term contracts.</w:t>
      </w:r>
    </w:p>
    <w:p w:rsidR="00F601A7" w:rsidRDefault="00F601A7" w:rsidP="00FB2DB6"/>
    <w:p w:rsidR="00F601A7" w:rsidRPr="003F6306" w:rsidRDefault="00F601A7" w:rsidP="00F601A7">
      <w:pPr>
        <w:pStyle w:val="Caption"/>
      </w:pPr>
      <w:bookmarkStart w:id="109" w:name="_Toc496019892"/>
      <w:r>
        <w:t xml:space="preserve">Table </w:t>
      </w:r>
      <w:r>
        <w:fldChar w:fldCharType="begin"/>
      </w:r>
      <w:r>
        <w:instrText xml:space="preserve"> SEQ Table \* ARABIC </w:instrText>
      </w:r>
      <w:r>
        <w:fldChar w:fldCharType="separate"/>
      </w:r>
      <w:r w:rsidR="00DF01C3">
        <w:rPr>
          <w:noProof/>
        </w:rPr>
        <w:t>14</w:t>
      </w:r>
      <w:r>
        <w:fldChar w:fldCharType="end"/>
      </w:r>
      <w:r>
        <w:t xml:space="preserve"> Comparative workforce data as at 30 June 2017</w:t>
      </w:r>
      <w:bookmarkEnd w:id="109"/>
    </w:p>
    <w:tbl>
      <w:tblPr>
        <w:tblStyle w:val="LightList-Accent1"/>
        <w:tblW w:w="5000" w:type="pct"/>
        <w:tblLook w:val="04A0" w:firstRow="1" w:lastRow="0" w:firstColumn="1" w:lastColumn="0" w:noHBand="0" w:noVBand="1"/>
      </w:tblPr>
      <w:tblGrid>
        <w:gridCol w:w="1130"/>
        <w:gridCol w:w="926"/>
        <w:gridCol w:w="1094"/>
        <w:gridCol w:w="592"/>
        <w:gridCol w:w="1094"/>
        <w:gridCol w:w="1094"/>
        <w:gridCol w:w="592"/>
        <w:gridCol w:w="1094"/>
        <w:gridCol w:w="537"/>
        <w:gridCol w:w="1094"/>
        <w:gridCol w:w="628"/>
        <w:gridCol w:w="1094"/>
        <w:gridCol w:w="1094"/>
        <w:gridCol w:w="537"/>
        <w:gridCol w:w="1094"/>
        <w:gridCol w:w="527"/>
      </w:tblGrid>
      <w:tr w:rsidR="00F601A7" w:rsidRPr="00C010BD" w:rsidTr="00F16EC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1" w:type="pct"/>
            <w:hideMark/>
          </w:tcPr>
          <w:p w:rsidR="00F601A7" w:rsidRPr="00C010BD" w:rsidRDefault="00F601A7" w:rsidP="00F601A7">
            <w:pPr>
              <w:spacing w:before="0"/>
              <w:jc w:val="center"/>
              <w:rPr>
                <w:rFonts w:cs="Arial"/>
                <w:i/>
                <w:iCs/>
                <w:color w:val="FFFFFF"/>
                <w:sz w:val="18"/>
                <w:szCs w:val="18"/>
                <w:lang w:eastAsia="en-AU"/>
              </w:rPr>
            </w:pPr>
            <w:r w:rsidRPr="00C010BD">
              <w:rPr>
                <w:rFonts w:cs="Arial"/>
                <w:i/>
                <w:iCs/>
                <w:color w:val="FFFFFF"/>
                <w:sz w:val="18"/>
                <w:szCs w:val="18"/>
                <w:lang w:eastAsia="en-AU"/>
              </w:rPr>
              <w:t> </w:t>
            </w:r>
          </w:p>
        </w:tc>
        <w:tc>
          <w:tcPr>
            <w:tcW w:w="326" w:type="pct"/>
            <w:hideMark/>
          </w:tcPr>
          <w:p w:rsidR="00F601A7" w:rsidRPr="00C010BD" w:rsidRDefault="00F601A7" w:rsidP="00F601A7">
            <w:pPr>
              <w:spacing w:before="0"/>
              <w:jc w:val="center"/>
              <w:cnfStyle w:val="100000000000" w:firstRow="1"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 </w:t>
            </w:r>
          </w:p>
        </w:tc>
        <w:tc>
          <w:tcPr>
            <w:tcW w:w="2147" w:type="pct"/>
            <w:gridSpan w:val="7"/>
            <w:hideMark/>
          </w:tcPr>
          <w:p w:rsidR="00F601A7" w:rsidRPr="00C010BD" w:rsidRDefault="00F601A7" w:rsidP="00F601A7">
            <w:pPr>
              <w:spacing w:before="0"/>
              <w:jc w:val="center"/>
              <w:cnfStyle w:val="100000000000" w:firstRow="1"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Jun-17</w:t>
            </w:r>
          </w:p>
        </w:tc>
        <w:tc>
          <w:tcPr>
            <w:tcW w:w="2137" w:type="pct"/>
            <w:gridSpan w:val="7"/>
            <w:hideMark/>
          </w:tcPr>
          <w:p w:rsidR="00F601A7" w:rsidRPr="00C010BD" w:rsidRDefault="00F601A7" w:rsidP="00F601A7">
            <w:pPr>
              <w:spacing w:before="0"/>
              <w:jc w:val="center"/>
              <w:cnfStyle w:val="100000000000" w:firstRow="1"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Jun-16</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val="restart"/>
            <w:shd w:val="clear" w:color="auto" w:fill="4F81BD" w:themeFill="accent1"/>
            <w:hideMark/>
          </w:tcPr>
          <w:p w:rsidR="00F601A7" w:rsidRPr="00C010BD" w:rsidRDefault="00F601A7" w:rsidP="00F601A7">
            <w:pPr>
              <w:spacing w:before="0"/>
              <w:jc w:val="center"/>
              <w:rPr>
                <w:rFonts w:cs="Arial"/>
                <w:i/>
                <w:iCs/>
                <w:color w:val="FFFFFF"/>
                <w:sz w:val="18"/>
                <w:szCs w:val="18"/>
                <w:lang w:eastAsia="en-AU"/>
              </w:rPr>
            </w:pPr>
            <w:r w:rsidRPr="00C010BD">
              <w:rPr>
                <w:rFonts w:cs="Arial"/>
                <w:i/>
                <w:iCs/>
                <w:color w:val="FFFFFF"/>
                <w:sz w:val="18"/>
                <w:szCs w:val="18"/>
                <w:lang w:eastAsia="en-AU"/>
              </w:rPr>
              <w:t> </w:t>
            </w:r>
          </w:p>
        </w:tc>
        <w:tc>
          <w:tcPr>
            <w:tcW w:w="326" w:type="pct"/>
            <w:vMerge w:val="restart"/>
            <w:shd w:val="clear" w:color="auto" w:fill="4F81BD" w:themeFill="accent1"/>
            <w:hideMark/>
          </w:tcPr>
          <w:p w:rsidR="00F601A7" w:rsidRPr="00C010BD" w:rsidRDefault="00F601A7" w:rsidP="00F601A7">
            <w:pPr>
              <w:spacing w:before="0"/>
              <w:jc w:val="center"/>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 </w:t>
            </w:r>
          </w:p>
        </w:tc>
        <w:tc>
          <w:tcPr>
            <w:tcW w:w="594" w:type="pct"/>
            <w:gridSpan w:val="2"/>
            <w:vMerge w:val="restart"/>
            <w:shd w:val="clear" w:color="auto" w:fill="4F81BD" w:themeFill="accent1"/>
            <w:hideMark/>
          </w:tcPr>
          <w:p w:rsidR="00F601A7" w:rsidRPr="00C010BD" w:rsidRDefault="00F601A7" w:rsidP="00F601A7">
            <w:pPr>
              <w:spacing w:before="0"/>
              <w:jc w:val="center"/>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All employees</w:t>
            </w:r>
          </w:p>
        </w:tc>
        <w:tc>
          <w:tcPr>
            <w:tcW w:w="979" w:type="pct"/>
            <w:gridSpan w:val="3"/>
            <w:vMerge w:val="restart"/>
            <w:shd w:val="clear" w:color="auto" w:fill="4F81BD" w:themeFill="accent1"/>
            <w:hideMark/>
          </w:tcPr>
          <w:p w:rsidR="00F601A7" w:rsidRPr="00C010BD" w:rsidRDefault="00F601A7" w:rsidP="00F601A7">
            <w:pPr>
              <w:spacing w:before="0"/>
              <w:jc w:val="center"/>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Ongoing</w:t>
            </w:r>
          </w:p>
        </w:tc>
        <w:tc>
          <w:tcPr>
            <w:tcW w:w="574" w:type="pct"/>
            <w:gridSpan w:val="2"/>
            <w:shd w:val="clear" w:color="auto" w:fill="4F81BD" w:themeFill="accent1"/>
            <w:hideMark/>
          </w:tcPr>
          <w:p w:rsidR="00F601A7" w:rsidRPr="00C010BD" w:rsidRDefault="00F601A7" w:rsidP="00F601A7">
            <w:pPr>
              <w:spacing w:before="0"/>
              <w:jc w:val="center"/>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Fixed term</w:t>
            </w:r>
          </w:p>
        </w:tc>
        <w:tc>
          <w:tcPr>
            <w:tcW w:w="606" w:type="pct"/>
            <w:gridSpan w:val="2"/>
            <w:vMerge w:val="restart"/>
            <w:shd w:val="clear" w:color="auto" w:fill="4F81BD" w:themeFill="accent1"/>
            <w:hideMark/>
          </w:tcPr>
          <w:p w:rsidR="00F601A7" w:rsidRPr="00C010BD" w:rsidRDefault="00F601A7" w:rsidP="00F601A7">
            <w:pPr>
              <w:spacing w:before="0"/>
              <w:jc w:val="center"/>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All employees</w:t>
            </w:r>
          </w:p>
        </w:tc>
        <w:tc>
          <w:tcPr>
            <w:tcW w:w="960" w:type="pct"/>
            <w:gridSpan w:val="3"/>
            <w:vMerge w:val="restart"/>
            <w:shd w:val="clear" w:color="auto" w:fill="4F81BD" w:themeFill="accent1"/>
            <w:hideMark/>
          </w:tcPr>
          <w:p w:rsidR="00F601A7" w:rsidRPr="00C010BD" w:rsidRDefault="00F601A7" w:rsidP="00F601A7">
            <w:pPr>
              <w:spacing w:before="0"/>
              <w:jc w:val="center"/>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Ongoing</w:t>
            </w:r>
          </w:p>
        </w:tc>
        <w:tc>
          <w:tcPr>
            <w:tcW w:w="571" w:type="pct"/>
            <w:gridSpan w:val="2"/>
            <w:shd w:val="clear" w:color="auto" w:fill="4F81BD" w:themeFill="accent1"/>
            <w:hideMark/>
          </w:tcPr>
          <w:p w:rsidR="00F601A7" w:rsidRPr="00C010BD" w:rsidRDefault="00F601A7" w:rsidP="00F601A7">
            <w:pPr>
              <w:spacing w:before="0"/>
              <w:jc w:val="center"/>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Fixed term</w:t>
            </w:r>
          </w:p>
        </w:tc>
      </w:tr>
      <w:tr w:rsidR="00F601A7" w:rsidRPr="00C010BD" w:rsidTr="00F16EC5">
        <w:trPr>
          <w:trHeight w:val="300"/>
        </w:trPr>
        <w:tc>
          <w:tcPr>
            <w:cnfStyle w:val="001000000000" w:firstRow="0" w:lastRow="0" w:firstColumn="1" w:lastColumn="0" w:oddVBand="0" w:evenVBand="0" w:oddHBand="0" w:evenHBand="0" w:firstRowFirstColumn="0" w:firstRowLastColumn="0" w:lastRowFirstColumn="0" w:lastRowLastColumn="0"/>
            <w:tcW w:w="391" w:type="pct"/>
            <w:vMerge/>
            <w:shd w:val="clear" w:color="auto" w:fill="4F81BD" w:themeFill="accent1"/>
            <w:hideMark/>
          </w:tcPr>
          <w:p w:rsidR="00F601A7" w:rsidRPr="00C010BD" w:rsidRDefault="00F601A7" w:rsidP="00F601A7">
            <w:pPr>
              <w:spacing w:before="0"/>
              <w:rPr>
                <w:rFonts w:cs="Arial"/>
                <w:i/>
                <w:iCs/>
                <w:color w:val="FFFFFF"/>
                <w:sz w:val="18"/>
                <w:szCs w:val="18"/>
                <w:lang w:eastAsia="en-AU"/>
              </w:rPr>
            </w:pPr>
          </w:p>
        </w:tc>
        <w:tc>
          <w:tcPr>
            <w:tcW w:w="326" w:type="pct"/>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594" w:type="pct"/>
            <w:gridSpan w:val="2"/>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979" w:type="pct"/>
            <w:gridSpan w:val="3"/>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574" w:type="pct"/>
            <w:gridSpan w:val="2"/>
            <w:shd w:val="clear" w:color="auto" w:fill="4F81BD" w:themeFill="accent1"/>
            <w:hideMark/>
          </w:tcPr>
          <w:p w:rsidR="00F601A7" w:rsidRPr="00C010BD" w:rsidRDefault="00F601A7" w:rsidP="00F601A7">
            <w:pPr>
              <w:spacing w:before="0"/>
              <w:jc w:val="center"/>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and casual</w:t>
            </w:r>
          </w:p>
        </w:tc>
        <w:tc>
          <w:tcPr>
            <w:tcW w:w="606" w:type="pct"/>
            <w:gridSpan w:val="2"/>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960" w:type="pct"/>
            <w:gridSpan w:val="3"/>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571" w:type="pct"/>
            <w:gridSpan w:val="2"/>
            <w:shd w:val="clear" w:color="auto" w:fill="4F81BD" w:themeFill="accent1"/>
            <w:hideMark/>
          </w:tcPr>
          <w:p w:rsidR="00F601A7" w:rsidRPr="00C010BD" w:rsidRDefault="00F601A7" w:rsidP="00F601A7">
            <w:pPr>
              <w:spacing w:before="0"/>
              <w:jc w:val="center"/>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and casual</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val="restart"/>
            <w:shd w:val="clear" w:color="auto" w:fill="4F81BD" w:themeFill="accent1"/>
            <w:hideMark/>
          </w:tcPr>
          <w:p w:rsidR="00F601A7" w:rsidRPr="00C010BD" w:rsidRDefault="00F601A7" w:rsidP="00F16EC5">
            <w:pPr>
              <w:spacing w:before="0"/>
              <w:ind w:firstLineChars="100" w:firstLine="181"/>
              <w:jc w:val="right"/>
              <w:rPr>
                <w:rFonts w:cs="Arial"/>
                <w:i/>
                <w:iCs/>
                <w:color w:val="FFFFFF"/>
                <w:sz w:val="18"/>
                <w:szCs w:val="18"/>
                <w:lang w:eastAsia="en-AU"/>
              </w:rPr>
            </w:pPr>
            <w:r w:rsidRPr="00C010BD">
              <w:rPr>
                <w:rFonts w:cs="Arial"/>
                <w:i/>
                <w:iCs/>
                <w:color w:val="FFFFFF"/>
                <w:sz w:val="18"/>
                <w:szCs w:val="18"/>
                <w:lang w:eastAsia="en-AU"/>
              </w:rPr>
              <w:t> </w:t>
            </w:r>
          </w:p>
        </w:tc>
        <w:tc>
          <w:tcPr>
            <w:tcW w:w="326" w:type="pct"/>
            <w:vMerge w:val="restar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 </w:t>
            </w:r>
          </w:p>
        </w:tc>
        <w:tc>
          <w:tcPr>
            <w:tcW w:w="385" w:type="pc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Number</w:t>
            </w:r>
          </w:p>
        </w:tc>
        <w:tc>
          <w:tcPr>
            <w:tcW w:w="208" w:type="pct"/>
            <w:vMerge w:val="restar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FTE</w:t>
            </w:r>
          </w:p>
        </w:tc>
        <w:tc>
          <w:tcPr>
            <w:tcW w:w="385" w:type="pc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Full-time</w:t>
            </w:r>
          </w:p>
        </w:tc>
        <w:tc>
          <w:tcPr>
            <w:tcW w:w="385" w:type="pct"/>
            <w:vMerge w:val="restar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Part-time (headcount)</w:t>
            </w:r>
          </w:p>
        </w:tc>
        <w:tc>
          <w:tcPr>
            <w:tcW w:w="208" w:type="pct"/>
            <w:vMerge w:val="restar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FTE</w:t>
            </w:r>
          </w:p>
        </w:tc>
        <w:tc>
          <w:tcPr>
            <w:tcW w:w="385" w:type="pc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Number</w:t>
            </w:r>
          </w:p>
        </w:tc>
        <w:tc>
          <w:tcPr>
            <w:tcW w:w="189" w:type="pct"/>
            <w:vMerge w:val="restar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FTE</w:t>
            </w:r>
          </w:p>
        </w:tc>
        <w:tc>
          <w:tcPr>
            <w:tcW w:w="385" w:type="pc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Number</w:t>
            </w:r>
          </w:p>
        </w:tc>
        <w:tc>
          <w:tcPr>
            <w:tcW w:w="221" w:type="pct"/>
            <w:vMerge w:val="restar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FTE</w:t>
            </w:r>
          </w:p>
        </w:tc>
        <w:tc>
          <w:tcPr>
            <w:tcW w:w="385" w:type="pc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Full-time</w:t>
            </w:r>
          </w:p>
        </w:tc>
        <w:tc>
          <w:tcPr>
            <w:tcW w:w="385" w:type="pc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Part-time</w:t>
            </w:r>
          </w:p>
        </w:tc>
        <w:tc>
          <w:tcPr>
            <w:tcW w:w="189" w:type="pct"/>
            <w:vMerge w:val="restar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FTE</w:t>
            </w:r>
          </w:p>
        </w:tc>
        <w:tc>
          <w:tcPr>
            <w:tcW w:w="385" w:type="pct"/>
            <w:shd w:val="clear" w:color="auto" w:fill="4F81BD" w:themeFill="accent1"/>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Number</w:t>
            </w:r>
          </w:p>
        </w:tc>
        <w:tc>
          <w:tcPr>
            <w:tcW w:w="186" w:type="pct"/>
            <w:vMerge w:val="restar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FTE</w:t>
            </w:r>
          </w:p>
        </w:tc>
      </w:tr>
      <w:tr w:rsidR="00F601A7" w:rsidRPr="00C010BD" w:rsidTr="00F16EC5">
        <w:trPr>
          <w:trHeight w:val="480"/>
        </w:trPr>
        <w:tc>
          <w:tcPr>
            <w:cnfStyle w:val="001000000000" w:firstRow="0" w:lastRow="0" w:firstColumn="1" w:lastColumn="0" w:oddVBand="0" w:evenVBand="0" w:oddHBand="0" w:evenHBand="0" w:firstRowFirstColumn="0" w:firstRowLastColumn="0" w:lastRowFirstColumn="0" w:lastRowLastColumn="0"/>
            <w:tcW w:w="391" w:type="pct"/>
            <w:vMerge/>
            <w:shd w:val="clear" w:color="auto" w:fill="4F81BD" w:themeFill="accent1"/>
            <w:hideMark/>
          </w:tcPr>
          <w:p w:rsidR="00F601A7" w:rsidRPr="00C010BD" w:rsidRDefault="00F601A7" w:rsidP="00F601A7">
            <w:pPr>
              <w:spacing w:before="0"/>
              <w:rPr>
                <w:rFonts w:cs="Arial"/>
                <w:i/>
                <w:iCs/>
                <w:color w:val="FFFFFF"/>
                <w:sz w:val="18"/>
                <w:szCs w:val="18"/>
                <w:lang w:eastAsia="en-AU"/>
              </w:rPr>
            </w:pPr>
          </w:p>
        </w:tc>
        <w:tc>
          <w:tcPr>
            <w:tcW w:w="326" w:type="pct"/>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385" w:type="pct"/>
            <w:shd w:val="clear" w:color="auto" w:fill="4F81BD" w:themeFill="accent1"/>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(headcount)</w:t>
            </w:r>
          </w:p>
        </w:tc>
        <w:tc>
          <w:tcPr>
            <w:tcW w:w="208" w:type="pct"/>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385" w:type="pct"/>
            <w:shd w:val="clear" w:color="auto" w:fill="4F81BD" w:themeFill="accent1"/>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(headcount)</w:t>
            </w:r>
          </w:p>
        </w:tc>
        <w:tc>
          <w:tcPr>
            <w:tcW w:w="385" w:type="pct"/>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208" w:type="pct"/>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385" w:type="pct"/>
            <w:shd w:val="clear" w:color="auto" w:fill="4F81BD" w:themeFill="accent1"/>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(headcount)</w:t>
            </w:r>
          </w:p>
        </w:tc>
        <w:tc>
          <w:tcPr>
            <w:tcW w:w="189" w:type="pct"/>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385" w:type="pct"/>
            <w:shd w:val="clear" w:color="auto" w:fill="4F81BD" w:themeFill="accent1"/>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(headcount)</w:t>
            </w:r>
          </w:p>
        </w:tc>
        <w:tc>
          <w:tcPr>
            <w:tcW w:w="221" w:type="pct"/>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385" w:type="pct"/>
            <w:shd w:val="clear" w:color="auto" w:fill="4F81BD" w:themeFill="accent1"/>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(headcount)</w:t>
            </w:r>
          </w:p>
        </w:tc>
        <w:tc>
          <w:tcPr>
            <w:tcW w:w="385" w:type="pct"/>
            <w:shd w:val="clear" w:color="auto" w:fill="4F81BD" w:themeFill="accent1"/>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(headcount)</w:t>
            </w:r>
          </w:p>
        </w:tc>
        <w:tc>
          <w:tcPr>
            <w:tcW w:w="189" w:type="pct"/>
            <w:vMerge/>
            <w:shd w:val="clear" w:color="auto" w:fill="4F81BD" w:themeFill="accent1"/>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c>
          <w:tcPr>
            <w:tcW w:w="385" w:type="pct"/>
            <w:shd w:val="clear" w:color="auto" w:fill="4F81BD" w:themeFill="accent1"/>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r w:rsidRPr="00C010BD">
              <w:rPr>
                <w:rFonts w:cs="Arial"/>
                <w:i/>
                <w:iCs/>
                <w:color w:val="FFFFFF"/>
                <w:sz w:val="18"/>
                <w:szCs w:val="18"/>
                <w:lang w:eastAsia="en-AU"/>
              </w:rPr>
              <w:t>(headcount)</w:t>
            </w:r>
          </w:p>
        </w:tc>
        <w:tc>
          <w:tcPr>
            <w:tcW w:w="186" w:type="pct"/>
            <w:vMerge/>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i/>
                <w:iCs/>
                <w:color w:val="FFFFFF"/>
                <w:sz w:val="18"/>
                <w:szCs w:val="18"/>
                <w:lang w:eastAsia="en-AU"/>
              </w:rPr>
            </w:pP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val="restart"/>
            <w:hideMark/>
          </w:tcPr>
          <w:p w:rsidR="00F601A7" w:rsidRPr="00C010BD" w:rsidRDefault="00F601A7" w:rsidP="00D31A6D">
            <w:pPr>
              <w:spacing w:before="0"/>
              <w:ind w:firstLineChars="100" w:firstLine="181"/>
              <w:jc w:val="right"/>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Demographic data</w:t>
            </w:r>
          </w:p>
        </w:tc>
        <w:tc>
          <w:tcPr>
            <w:tcW w:w="32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Gender</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r>
      <w:tr w:rsidR="00F601A7" w:rsidRPr="00C010BD" w:rsidTr="00F16EC5">
        <w:trPr>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ind w:firstLineChars="100" w:firstLine="150"/>
              <w:cnfStyle w:val="000000000000" w:firstRow="0" w:lastRow="0" w:firstColumn="0" w:lastColumn="0" w:oddVBand="0" w:evenVBand="0" w:oddHBand="0"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Male</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7</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7</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4</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4</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ind w:firstLineChars="100" w:firstLine="150"/>
              <w:cnfStyle w:val="000000100000" w:firstRow="0" w:lastRow="0" w:firstColumn="0" w:lastColumn="0" w:oddVBand="0" w:evenVBand="0" w:oddHBand="1"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Female</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46</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42.9</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20</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8</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25.4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18</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17.5</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28</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23.6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10</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21.6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w:t>
            </w:r>
          </w:p>
        </w:tc>
      </w:tr>
      <w:tr w:rsidR="00F601A7" w:rsidRPr="00C010BD" w:rsidTr="00F16EC5">
        <w:trPr>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b/>
                <w:bCs/>
                <w:color w:val="000000"/>
                <w:sz w:val="15"/>
                <w:szCs w:val="15"/>
                <w:lang w:eastAsia="en-AU"/>
              </w:rPr>
            </w:pPr>
            <w:r w:rsidRPr="00C010BD">
              <w:rPr>
                <w:rFonts w:cs="Arial"/>
                <w:b/>
                <w:bCs/>
                <w:color w:val="000000"/>
                <w:sz w:val="15"/>
                <w:szCs w:val="15"/>
                <w:lang w:eastAsia="en-AU"/>
              </w:rPr>
              <w:t>Age</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 </w:t>
            </w:r>
          </w:p>
        </w:tc>
        <w:tc>
          <w:tcPr>
            <w:tcW w:w="385" w:type="pct"/>
            <w:hideMark/>
          </w:tcPr>
          <w:p w:rsidR="00F601A7" w:rsidRPr="00C010BD" w:rsidRDefault="00F601A7" w:rsidP="00F601A7">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 </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 </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 </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 </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ind w:firstLineChars="100" w:firstLine="150"/>
              <w:cnfStyle w:val="000000100000" w:firstRow="0" w:lastRow="0" w:firstColumn="0" w:lastColumn="0" w:oddVBand="0" w:evenVBand="0" w:oddHBand="1"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15-24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r>
      <w:tr w:rsidR="00F601A7" w:rsidRPr="00C010BD" w:rsidTr="00F16EC5">
        <w:trPr>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ind w:firstLineChars="100" w:firstLine="150"/>
              <w:cnfStyle w:val="000000000000" w:firstRow="0" w:lastRow="0" w:firstColumn="0" w:lastColumn="0" w:oddVBand="0" w:evenVBand="0" w:oddHBand="0"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25-34</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8</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8</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7</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7</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ind w:firstLineChars="100" w:firstLine="150"/>
              <w:cnfStyle w:val="000000100000" w:firstRow="0" w:lastRow="0" w:firstColumn="0" w:lastColumn="0" w:oddVBand="0" w:evenVBand="0" w:oddHBand="1"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35-44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16</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14.83</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5</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2</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6.3</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9</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8.5</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8</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5.9</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4.9</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r>
      <w:tr w:rsidR="00F601A7" w:rsidRPr="00C010BD" w:rsidTr="00F16EC5">
        <w:trPr>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ind w:firstLineChars="100" w:firstLine="150"/>
              <w:cnfStyle w:val="000000000000" w:firstRow="0" w:lastRow="0" w:firstColumn="0" w:lastColumn="0" w:oddVBand="0" w:evenVBand="0" w:oddHBand="0"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45-54</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12</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11.3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5</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2</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6.3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5</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5</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11</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9.3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8</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9.3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ind w:firstLineChars="100" w:firstLine="150"/>
              <w:cnfStyle w:val="000000100000" w:firstRow="0" w:lastRow="0" w:firstColumn="0" w:lastColumn="0" w:oddVBand="0" w:evenVBand="0" w:oddHBand="1"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55-64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16</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14.8</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4</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13.8</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11</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10.4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5</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10.4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r>
      <w:tr w:rsidR="00F601A7" w:rsidRPr="00C010BD" w:rsidTr="00F16EC5">
        <w:trPr>
          <w:trHeight w:val="315"/>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ascii="Calibri" w:hAnsi="Calibri" w:cs="Times New Roman"/>
                <w:color w:val="000000"/>
                <w:sz w:val="18"/>
                <w:szCs w:val="18"/>
                <w:lang w:eastAsia="en-AU"/>
              </w:rPr>
            </w:pPr>
          </w:p>
        </w:tc>
        <w:tc>
          <w:tcPr>
            <w:tcW w:w="326" w:type="pct"/>
            <w:hideMark/>
          </w:tcPr>
          <w:p w:rsidR="00F601A7" w:rsidRPr="00C010BD" w:rsidRDefault="00F601A7" w:rsidP="00F601A7">
            <w:pPr>
              <w:spacing w:before="0"/>
              <w:ind w:firstLineChars="100" w:firstLine="150"/>
              <w:cnfStyle w:val="000000000000" w:firstRow="0" w:lastRow="0" w:firstColumn="0" w:lastColumn="0" w:oddVBand="0" w:evenVBand="0" w:oddHBand="0"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65+</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91" w:type="pct"/>
            <w:vMerge w:val="restart"/>
            <w:textDirection w:val="btLr"/>
            <w:hideMark/>
          </w:tcPr>
          <w:p w:rsidR="00F601A7" w:rsidRPr="00C010BD" w:rsidRDefault="00F601A7" w:rsidP="00F601A7">
            <w:pPr>
              <w:spacing w:before="0"/>
              <w:jc w:val="center"/>
              <w:rPr>
                <w:rFonts w:cs="Arial"/>
                <w:b w:val="0"/>
                <w:bCs w:val="0"/>
                <w:color w:val="000000"/>
                <w:sz w:val="15"/>
                <w:szCs w:val="15"/>
                <w:lang w:eastAsia="en-AU"/>
              </w:rPr>
            </w:pPr>
            <w:r w:rsidRPr="00C010BD">
              <w:rPr>
                <w:rFonts w:cs="Arial"/>
                <w:b w:val="0"/>
                <w:bCs w:val="0"/>
                <w:color w:val="000000"/>
                <w:sz w:val="15"/>
                <w:szCs w:val="15"/>
                <w:lang w:eastAsia="en-AU"/>
              </w:rPr>
              <w:t>Classification data</w:t>
            </w:r>
          </w:p>
        </w:tc>
        <w:tc>
          <w:tcPr>
            <w:tcW w:w="326" w:type="pct"/>
            <w:hideMark/>
          </w:tcPr>
          <w:p w:rsidR="00F601A7" w:rsidRPr="00C010BD" w:rsidRDefault="00F601A7" w:rsidP="00F601A7">
            <w:pPr>
              <w:spacing w:before="0"/>
              <w:cnfStyle w:val="000000100000" w:firstRow="0" w:lastRow="0" w:firstColumn="0" w:lastColumn="0" w:oddVBand="0" w:evenVBand="0" w:oddHBand="1" w:evenHBand="0" w:firstRowFirstColumn="0" w:firstRowLastColumn="0" w:lastRowFirstColumn="0" w:lastRowLastColumn="0"/>
              <w:rPr>
                <w:rFonts w:cs="Arial"/>
                <w:b/>
                <w:bCs/>
                <w:color w:val="000000"/>
                <w:sz w:val="15"/>
                <w:szCs w:val="15"/>
                <w:lang w:eastAsia="en-AU"/>
              </w:rPr>
            </w:pPr>
            <w:r w:rsidRPr="00C010BD">
              <w:rPr>
                <w:rFonts w:cs="Arial"/>
                <w:b/>
                <w:bCs/>
                <w:color w:val="000000"/>
                <w:sz w:val="15"/>
                <w:szCs w:val="15"/>
                <w:lang w:eastAsia="en-AU"/>
              </w:rPr>
              <w:t>VPS 1-6 grades</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lang w:eastAsia="en-AU"/>
              </w:rPr>
            </w:pPr>
            <w:r w:rsidRPr="00C010BD">
              <w:rPr>
                <w:rFonts w:ascii="Calibri" w:hAnsi="Calibri" w:cs="Times New Roman"/>
                <w:b/>
                <w:bCs/>
                <w:color w:val="000000"/>
                <w:sz w:val="18"/>
                <w:szCs w:val="18"/>
                <w:lang w:eastAsia="en-AU"/>
              </w:rPr>
              <w:t>53</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lang w:eastAsia="en-AU"/>
              </w:rPr>
            </w:pPr>
            <w:r w:rsidRPr="00C010BD">
              <w:rPr>
                <w:rFonts w:ascii="Calibri" w:hAnsi="Calibri" w:cs="Times New Roman"/>
                <w:b/>
                <w:bCs/>
                <w:color w:val="000000"/>
                <w:sz w:val="18"/>
                <w:szCs w:val="18"/>
                <w:lang w:eastAsia="en-AU"/>
              </w:rPr>
              <w:t>49.9</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lang w:eastAsia="en-AU"/>
              </w:rPr>
            </w:pPr>
            <w:r w:rsidRPr="00C010BD">
              <w:rPr>
                <w:rFonts w:ascii="Calibri" w:hAnsi="Calibri" w:cs="Times New Roman"/>
                <w:b/>
                <w:bCs/>
                <w:color w:val="000000"/>
                <w:sz w:val="18"/>
                <w:szCs w:val="18"/>
                <w:lang w:eastAsia="en-AU"/>
              </w:rPr>
              <w:t>23</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lang w:eastAsia="en-AU"/>
              </w:rPr>
            </w:pPr>
            <w:r w:rsidRPr="00C010BD">
              <w:rPr>
                <w:rFonts w:ascii="Calibri" w:hAnsi="Calibri" w:cs="Times New Roman"/>
                <w:b/>
                <w:bCs/>
                <w:color w:val="000000"/>
                <w:sz w:val="18"/>
                <w:szCs w:val="18"/>
                <w:lang w:eastAsia="en-AU"/>
              </w:rPr>
              <w:t>8</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lang w:eastAsia="en-AU"/>
              </w:rPr>
            </w:pPr>
            <w:r w:rsidRPr="00C010BD">
              <w:rPr>
                <w:rFonts w:ascii="Calibri" w:hAnsi="Calibri" w:cs="Times New Roman"/>
                <w:b/>
                <w:bCs/>
                <w:color w:val="000000"/>
                <w:sz w:val="18"/>
                <w:szCs w:val="18"/>
                <w:lang w:eastAsia="en-AU"/>
              </w:rPr>
              <w:t>28.4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lang w:eastAsia="en-AU"/>
              </w:rPr>
            </w:pPr>
            <w:r w:rsidRPr="00C010BD">
              <w:rPr>
                <w:rFonts w:ascii="Calibri" w:hAnsi="Calibri" w:cs="Times New Roman"/>
                <w:b/>
                <w:bCs/>
                <w:color w:val="000000"/>
                <w:sz w:val="18"/>
                <w:szCs w:val="18"/>
                <w:lang w:eastAsia="en-AU"/>
              </w:rPr>
              <w:t>22</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lang w:eastAsia="en-AU"/>
              </w:rPr>
            </w:pPr>
            <w:r w:rsidRPr="00C010BD">
              <w:rPr>
                <w:rFonts w:ascii="Calibri" w:hAnsi="Calibri" w:cs="Times New Roman"/>
                <w:b/>
                <w:bCs/>
                <w:color w:val="000000"/>
                <w:sz w:val="18"/>
                <w:szCs w:val="18"/>
                <w:lang w:eastAsia="en-AU"/>
              </w:rPr>
              <w:t>21.5</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31</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26.6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18</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11</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24.6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2</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2</w:t>
            </w:r>
          </w:p>
        </w:tc>
      </w:tr>
      <w:tr w:rsidR="00F601A7" w:rsidRPr="00C010BD" w:rsidTr="00F16EC5">
        <w:trPr>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cs="Arial"/>
                <w:b w:val="0"/>
                <w:bCs w:val="0"/>
                <w:color w:val="000000"/>
                <w:sz w:val="15"/>
                <w:szCs w:val="15"/>
                <w:lang w:eastAsia="en-AU"/>
              </w:rPr>
            </w:pPr>
          </w:p>
        </w:tc>
        <w:tc>
          <w:tcPr>
            <w:tcW w:w="326" w:type="pct"/>
            <w:hideMark/>
          </w:tcPr>
          <w:p w:rsidR="00F601A7" w:rsidRPr="00C010BD" w:rsidRDefault="00F601A7" w:rsidP="00F601A7">
            <w:pPr>
              <w:spacing w:before="0"/>
              <w:ind w:firstLineChars="100" w:firstLine="150"/>
              <w:cnfStyle w:val="000000000000" w:firstRow="0" w:lastRow="0" w:firstColumn="0" w:lastColumn="0" w:oddVBand="0" w:evenVBand="0" w:oddHBand="0"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VPS 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5</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4.6</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3.6</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2.6</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2.6</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cs="Arial"/>
                <w:b w:val="0"/>
                <w:bCs w:val="0"/>
                <w:color w:val="000000"/>
                <w:sz w:val="15"/>
                <w:szCs w:val="15"/>
                <w:lang w:eastAsia="en-AU"/>
              </w:rPr>
            </w:pPr>
          </w:p>
        </w:tc>
        <w:tc>
          <w:tcPr>
            <w:tcW w:w="326" w:type="pct"/>
            <w:hideMark/>
          </w:tcPr>
          <w:p w:rsidR="00F601A7" w:rsidRPr="00C010BD" w:rsidRDefault="00F601A7" w:rsidP="00F601A7">
            <w:pPr>
              <w:spacing w:before="0"/>
              <w:ind w:firstLineChars="100" w:firstLine="150"/>
              <w:cnfStyle w:val="000000100000" w:firstRow="0" w:lastRow="0" w:firstColumn="0" w:lastColumn="0" w:oddVBand="0" w:evenVBand="0" w:oddHBand="1"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VPS 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5</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5</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0</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4</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3</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2</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r>
      <w:tr w:rsidR="00F601A7" w:rsidRPr="00C010BD" w:rsidTr="00F16EC5">
        <w:trPr>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cs="Arial"/>
                <w:b w:val="0"/>
                <w:bCs w:val="0"/>
                <w:color w:val="000000"/>
                <w:sz w:val="15"/>
                <w:szCs w:val="15"/>
                <w:lang w:eastAsia="en-AU"/>
              </w:rPr>
            </w:pPr>
          </w:p>
        </w:tc>
        <w:tc>
          <w:tcPr>
            <w:tcW w:w="326" w:type="pct"/>
            <w:hideMark/>
          </w:tcPr>
          <w:p w:rsidR="00F601A7" w:rsidRPr="00C010BD" w:rsidRDefault="00F601A7" w:rsidP="00F601A7">
            <w:pPr>
              <w:spacing w:before="0"/>
              <w:ind w:firstLineChars="100" w:firstLine="150"/>
              <w:cnfStyle w:val="000000000000" w:firstRow="0" w:lastRow="0" w:firstColumn="0" w:lastColumn="0" w:oddVBand="0" w:evenVBand="0" w:oddHBand="0"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VPS 5</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25</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23.43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5</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14.43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9</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9</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15</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13.03</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8</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6</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Pr>
                <w:rFonts w:cs="Arial"/>
                <w:i/>
                <w:iCs/>
                <w:color w:val="000000"/>
                <w:sz w:val="18"/>
                <w:szCs w:val="18"/>
                <w:lang w:eastAsia="en-AU"/>
              </w:rPr>
              <w:t>12</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1</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cs="Arial"/>
                <w:b w:val="0"/>
                <w:bCs w:val="0"/>
                <w:color w:val="000000"/>
                <w:sz w:val="15"/>
                <w:szCs w:val="15"/>
                <w:lang w:eastAsia="en-AU"/>
              </w:rPr>
            </w:pPr>
          </w:p>
        </w:tc>
        <w:tc>
          <w:tcPr>
            <w:tcW w:w="326" w:type="pct"/>
            <w:hideMark/>
          </w:tcPr>
          <w:p w:rsidR="00F601A7" w:rsidRPr="00C010BD" w:rsidRDefault="00F601A7" w:rsidP="00F601A7">
            <w:pPr>
              <w:spacing w:before="0"/>
              <w:ind w:firstLineChars="100" w:firstLine="150"/>
              <w:cnfStyle w:val="000000100000" w:firstRow="0" w:lastRow="0" w:firstColumn="0" w:lastColumn="0" w:oddVBand="0" w:evenVBand="0" w:oddHBand="1"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VPS 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16</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14.9</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7</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2</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8.4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7</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C010BD">
              <w:rPr>
                <w:rFonts w:ascii="Calibri" w:hAnsi="Calibri" w:cs="Times New Roman"/>
                <w:color w:val="000000"/>
                <w:sz w:val="18"/>
                <w:szCs w:val="18"/>
                <w:lang w:eastAsia="en-AU"/>
              </w:rPr>
              <w:t>6.5</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9</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8.01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5</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4</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Pr>
                <w:rFonts w:cs="Arial"/>
                <w:i/>
                <w:iCs/>
                <w:color w:val="000000"/>
                <w:sz w:val="18"/>
                <w:szCs w:val="18"/>
                <w:lang w:eastAsia="en-AU"/>
              </w:rPr>
              <w:t>8</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i/>
                <w:iCs/>
                <w:color w:val="000000"/>
                <w:sz w:val="18"/>
                <w:szCs w:val="18"/>
                <w:lang w:eastAsia="en-AU"/>
              </w:rPr>
            </w:pPr>
            <w:r w:rsidRPr="00C010BD">
              <w:rPr>
                <w:rFonts w:cs="Arial"/>
                <w:i/>
                <w:iCs/>
                <w:color w:val="000000"/>
                <w:sz w:val="18"/>
                <w:szCs w:val="18"/>
                <w:lang w:eastAsia="en-AU"/>
              </w:rPr>
              <w:t>0</w:t>
            </w:r>
          </w:p>
        </w:tc>
      </w:tr>
      <w:tr w:rsidR="00F601A7" w:rsidRPr="00C010BD" w:rsidTr="00F16EC5">
        <w:trPr>
          <w:trHeight w:val="585"/>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cs="Arial"/>
                <w:b w:val="0"/>
                <w:bCs w:val="0"/>
                <w:color w:val="000000"/>
                <w:sz w:val="15"/>
                <w:szCs w:val="15"/>
                <w:lang w:eastAsia="en-AU"/>
              </w:rPr>
            </w:pPr>
          </w:p>
        </w:tc>
        <w:tc>
          <w:tcPr>
            <w:tcW w:w="326" w:type="pct"/>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b/>
                <w:bCs/>
                <w:color w:val="000000"/>
                <w:sz w:val="15"/>
                <w:szCs w:val="15"/>
                <w:lang w:eastAsia="en-AU"/>
              </w:rPr>
            </w:pPr>
            <w:r w:rsidRPr="00C010BD">
              <w:rPr>
                <w:rFonts w:cs="Arial"/>
                <w:b/>
                <w:bCs/>
                <w:color w:val="000000"/>
                <w:sz w:val="15"/>
                <w:szCs w:val="15"/>
                <w:lang w:eastAsia="en-AU"/>
              </w:rPr>
              <w:t>Senior employees</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2</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2</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0</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1</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1</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0</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1</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0</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i/>
                <w:iCs/>
                <w:color w:val="000000"/>
                <w:sz w:val="18"/>
                <w:szCs w:val="18"/>
                <w:lang w:eastAsia="en-AU"/>
              </w:rPr>
            </w:pPr>
            <w:r w:rsidRPr="00C010BD">
              <w:rPr>
                <w:rFonts w:cs="Arial"/>
                <w:b/>
                <w:bCs/>
                <w:i/>
                <w:iCs/>
                <w:color w:val="000000"/>
                <w:sz w:val="18"/>
                <w:szCs w:val="18"/>
                <w:lang w:eastAsia="en-AU"/>
              </w:rPr>
              <w:t>0</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cs="Arial"/>
                <w:b w:val="0"/>
                <w:bCs w:val="0"/>
                <w:color w:val="000000"/>
                <w:sz w:val="15"/>
                <w:szCs w:val="15"/>
                <w:lang w:eastAsia="en-AU"/>
              </w:rPr>
            </w:pPr>
          </w:p>
        </w:tc>
        <w:tc>
          <w:tcPr>
            <w:tcW w:w="326" w:type="pct"/>
            <w:hideMark/>
          </w:tcPr>
          <w:p w:rsidR="00F601A7" w:rsidRPr="00C010BD" w:rsidRDefault="00F601A7" w:rsidP="00F601A7">
            <w:pPr>
              <w:spacing w:before="0"/>
              <w:ind w:firstLineChars="100" w:firstLine="150"/>
              <w:cnfStyle w:val="000000100000" w:firstRow="0" w:lastRow="0" w:firstColumn="0" w:lastColumn="0" w:oddVBand="0" w:evenVBand="0" w:oddHBand="1" w:evenHBand="0" w:firstRowFirstColumn="0" w:firstRowLastColumn="0" w:lastRowFirstColumn="0" w:lastRowLastColumn="0"/>
              <w:rPr>
                <w:rFonts w:cs="Arial"/>
                <w:color w:val="000000"/>
                <w:sz w:val="15"/>
                <w:szCs w:val="15"/>
                <w:lang w:eastAsia="en-AU"/>
              </w:rPr>
            </w:pPr>
            <w:r w:rsidRPr="00C010BD">
              <w:rPr>
                <w:rFonts w:cs="Arial"/>
                <w:color w:val="000000"/>
                <w:sz w:val="15"/>
                <w:szCs w:val="15"/>
                <w:lang w:eastAsia="en-AU"/>
              </w:rPr>
              <w:t>Executives</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2</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2</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 </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1</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 </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1</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0</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1</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0</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C010BD">
              <w:rPr>
                <w:rFonts w:cs="Arial"/>
                <w:color w:val="000000"/>
                <w:sz w:val="18"/>
                <w:szCs w:val="18"/>
                <w:lang w:eastAsia="en-AU"/>
              </w:rPr>
              <w:t>0</w:t>
            </w:r>
          </w:p>
        </w:tc>
      </w:tr>
      <w:tr w:rsidR="00F601A7" w:rsidRPr="00C010BD" w:rsidTr="00F16EC5">
        <w:trPr>
          <w:trHeight w:val="315"/>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cs="Arial"/>
                <w:b w:val="0"/>
                <w:bCs w:val="0"/>
                <w:color w:val="000000"/>
                <w:sz w:val="15"/>
                <w:szCs w:val="15"/>
                <w:lang w:eastAsia="en-AU"/>
              </w:rPr>
            </w:pPr>
          </w:p>
        </w:tc>
        <w:tc>
          <w:tcPr>
            <w:tcW w:w="326" w:type="pct"/>
            <w:hideMark/>
          </w:tcPr>
          <w:p w:rsidR="00F601A7" w:rsidRPr="00C010BD" w:rsidRDefault="00F601A7" w:rsidP="00F601A7">
            <w:pPr>
              <w:spacing w:before="0"/>
              <w:cnfStyle w:val="000000000000" w:firstRow="0" w:lastRow="0" w:firstColumn="0" w:lastColumn="0" w:oddVBand="0" w:evenVBand="0" w:oddHBand="0" w:evenHBand="0" w:firstRowFirstColumn="0" w:firstRowLastColumn="0" w:lastRowFirstColumn="0" w:lastRowLastColumn="0"/>
              <w:rPr>
                <w:rFonts w:cs="Arial"/>
                <w:b/>
                <w:bCs/>
                <w:color w:val="000000"/>
                <w:sz w:val="15"/>
                <w:szCs w:val="15"/>
                <w:lang w:eastAsia="en-AU"/>
              </w:rPr>
            </w:pPr>
            <w:r w:rsidRPr="00C010BD">
              <w:rPr>
                <w:rFonts w:cs="Arial"/>
                <w:b/>
                <w:bCs/>
                <w:color w:val="000000"/>
                <w:sz w:val="15"/>
                <w:szCs w:val="15"/>
                <w:lang w:eastAsia="en-AU"/>
              </w:rPr>
              <w:t>Other</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208"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221"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189"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385"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c>
          <w:tcPr>
            <w:tcW w:w="186" w:type="pct"/>
            <w:hideMark/>
          </w:tcPr>
          <w:p w:rsidR="00F601A7" w:rsidRPr="00C010BD" w:rsidRDefault="00F601A7" w:rsidP="00F601A7">
            <w:pPr>
              <w:spacing w:before="0"/>
              <w:jc w:val="righ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 </w:t>
            </w:r>
          </w:p>
        </w:tc>
      </w:tr>
      <w:tr w:rsidR="00F601A7" w:rsidRPr="00C010BD" w:rsidTr="00F16EC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1" w:type="pct"/>
            <w:vMerge/>
            <w:hideMark/>
          </w:tcPr>
          <w:p w:rsidR="00F601A7" w:rsidRPr="00C010BD" w:rsidRDefault="00F601A7" w:rsidP="00F601A7">
            <w:pPr>
              <w:spacing w:before="0"/>
              <w:rPr>
                <w:rFonts w:cs="Arial"/>
                <w:b w:val="0"/>
                <w:bCs w:val="0"/>
                <w:color w:val="000000"/>
                <w:sz w:val="15"/>
                <w:szCs w:val="15"/>
                <w:lang w:eastAsia="en-AU"/>
              </w:rPr>
            </w:pPr>
          </w:p>
        </w:tc>
        <w:tc>
          <w:tcPr>
            <w:tcW w:w="326" w:type="pct"/>
            <w:hideMark/>
          </w:tcPr>
          <w:p w:rsidR="00F601A7" w:rsidRPr="00C010BD" w:rsidRDefault="00F601A7" w:rsidP="00F601A7">
            <w:pPr>
              <w:spacing w:before="0"/>
              <w:cnfStyle w:val="000000100000" w:firstRow="0" w:lastRow="0" w:firstColumn="0" w:lastColumn="0" w:oddVBand="0" w:evenVBand="0" w:oddHBand="1" w:evenHBand="0" w:firstRowFirstColumn="0" w:firstRowLastColumn="0" w:lastRowFirstColumn="0" w:lastRowLastColumn="0"/>
              <w:rPr>
                <w:rFonts w:cs="Arial"/>
                <w:b/>
                <w:bCs/>
                <w:color w:val="000000"/>
                <w:sz w:val="15"/>
                <w:szCs w:val="15"/>
                <w:lang w:eastAsia="en-AU"/>
              </w:rPr>
            </w:pPr>
            <w:r w:rsidRPr="00C010BD">
              <w:rPr>
                <w:rFonts w:cs="Arial"/>
                <w:b/>
                <w:bCs/>
                <w:color w:val="000000"/>
                <w:sz w:val="15"/>
                <w:szCs w:val="15"/>
                <w:lang w:eastAsia="en-AU"/>
              </w:rPr>
              <w:t>Total employees</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53</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Pr>
                <w:rFonts w:cs="Arial"/>
                <w:b/>
                <w:bCs/>
                <w:color w:val="000000"/>
                <w:sz w:val="18"/>
                <w:szCs w:val="18"/>
                <w:lang w:eastAsia="en-AU"/>
              </w:rPr>
              <w:t>49.9</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23</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8</w:t>
            </w:r>
          </w:p>
        </w:tc>
        <w:tc>
          <w:tcPr>
            <w:tcW w:w="208"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Pr>
                <w:rFonts w:cs="Arial"/>
                <w:b/>
                <w:bCs/>
                <w:color w:val="000000"/>
                <w:sz w:val="18"/>
                <w:szCs w:val="18"/>
                <w:lang w:eastAsia="en-AU"/>
              </w:rPr>
              <w:t>28.4</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22</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21.5</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31</w:t>
            </w:r>
          </w:p>
        </w:tc>
        <w:tc>
          <w:tcPr>
            <w:tcW w:w="221"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Pr>
                <w:rFonts w:cs="Arial"/>
                <w:b/>
                <w:bCs/>
                <w:color w:val="000000"/>
                <w:sz w:val="18"/>
                <w:szCs w:val="18"/>
                <w:lang w:eastAsia="en-AU"/>
              </w:rPr>
              <w:t>26.6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19</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10</w:t>
            </w:r>
          </w:p>
        </w:tc>
        <w:tc>
          <w:tcPr>
            <w:tcW w:w="189"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Pr>
                <w:rFonts w:cs="Arial"/>
                <w:b/>
                <w:bCs/>
                <w:color w:val="000000"/>
                <w:sz w:val="18"/>
                <w:szCs w:val="18"/>
                <w:lang w:eastAsia="en-AU"/>
              </w:rPr>
              <w:t>24.6</w:t>
            </w:r>
          </w:p>
        </w:tc>
        <w:tc>
          <w:tcPr>
            <w:tcW w:w="385"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2</w:t>
            </w:r>
          </w:p>
        </w:tc>
        <w:tc>
          <w:tcPr>
            <w:tcW w:w="186" w:type="pct"/>
            <w:hideMark/>
          </w:tcPr>
          <w:p w:rsidR="00F601A7" w:rsidRPr="00C010BD" w:rsidRDefault="00F601A7" w:rsidP="00F601A7">
            <w:pPr>
              <w:spacing w:before="0"/>
              <w:jc w:val="righ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eastAsia="en-AU"/>
              </w:rPr>
            </w:pPr>
            <w:r w:rsidRPr="00C010BD">
              <w:rPr>
                <w:rFonts w:cs="Arial"/>
                <w:b/>
                <w:bCs/>
                <w:color w:val="000000"/>
                <w:sz w:val="18"/>
                <w:szCs w:val="18"/>
                <w:lang w:eastAsia="en-AU"/>
              </w:rPr>
              <w:t>2</w:t>
            </w:r>
          </w:p>
        </w:tc>
      </w:tr>
    </w:tbl>
    <w:p w:rsidR="007A01BD" w:rsidRPr="003F6306" w:rsidRDefault="007A01BD">
      <w:pPr>
        <w:pStyle w:val="BodyText"/>
        <w:spacing w:before="8"/>
        <w:rPr>
          <w:sz w:val="22"/>
        </w:rPr>
      </w:pPr>
    </w:p>
    <w:p w:rsidR="007A01BD" w:rsidRPr="003F6306" w:rsidRDefault="00F82531" w:rsidP="00FB2DB6">
      <w:r w:rsidRPr="003F6306">
        <w:t xml:space="preserve">The figures in </w:t>
      </w:r>
      <w:r w:rsidRPr="003F6306">
        <w:rPr>
          <w:spacing w:val="-3"/>
        </w:rPr>
        <w:t xml:space="preserve">Tables </w:t>
      </w:r>
      <w:r w:rsidRPr="003F6306">
        <w:rPr>
          <w:spacing w:val="-5"/>
        </w:rPr>
        <w:t xml:space="preserve">14 </w:t>
      </w:r>
      <w:r w:rsidRPr="003F6306">
        <w:t>exclude</w:t>
      </w:r>
      <w:r w:rsidR="00FD2369">
        <w:t>s</w:t>
      </w:r>
      <w:r w:rsidRPr="003F6306">
        <w:t xml:space="preserve"> those on leave without pay or absent on secondment, external contractors/consultants, temporary staff employed by employment agencies,</w:t>
      </w:r>
      <w:r w:rsidRPr="003F6306">
        <w:rPr>
          <w:spacing w:val="11"/>
        </w:rPr>
        <w:t xml:space="preserve"> </w:t>
      </w:r>
      <w:r w:rsidRPr="003F6306">
        <w:t>and</w:t>
      </w:r>
      <w:r w:rsidR="00FB2DB6">
        <w:t xml:space="preserve"> </w:t>
      </w:r>
      <w:r w:rsidRPr="003F6306">
        <w:t xml:space="preserve">a small number of people who are not employees but are appointees to a statutory office, as defined in the </w:t>
      </w:r>
      <w:r w:rsidRPr="003F6306">
        <w:rPr>
          <w:i/>
        </w:rPr>
        <w:t>Public Administration Act 2004</w:t>
      </w:r>
      <w:r w:rsidRPr="003F6306">
        <w:t>.</w:t>
      </w:r>
    </w:p>
    <w:p w:rsidR="007A01BD" w:rsidRPr="00F601A7" w:rsidRDefault="00F82531" w:rsidP="00F601A7">
      <w:r w:rsidRPr="00F601A7">
        <w:t>All figures reflect employment levels during the last full pay period of each year.</w:t>
      </w:r>
    </w:p>
    <w:p w:rsidR="00F601A7" w:rsidRDefault="00F82531" w:rsidP="00F601A7">
      <w:pPr>
        <w:sectPr w:rsidR="00F601A7" w:rsidSect="00F601A7">
          <w:pgSz w:w="16840" w:h="11910" w:orient="landscape"/>
          <w:pgMar w:top="1418" w:right="1134" w:bottom="1418" w:left="1701" w:header="720" w:footer="720" w:gutter="0"/>
          <w:cols w:space="720"/>
          <w:docGrid w:linePitch="299"/>
        </w:sectPr>
      </w:pPr>
      <w:r w:rsidRPr="00F601A7">
        <w:t xml:space="preserve">‘Ongoing’ employees means people engaged on an open-ended contract of employment and executives engaged on a standard executive contract who are active in the last full pay period of </w:t>
      </w:r>
      <w:r w:rsidR="00F601A7" w:rsidRPr="00F601A7">
        <w:t>June</w:t>
      </w:r>
    </w:p>
    <w:p w:rsidR="007A01BD" w:rsidRPr="003F6306" w:rsidRDefault="00F82531" w:rsidP="00F601A7">
      <w:pPr>
        <w:pStyle w:val="Heading2"/>
      </w:pPr>
      <w:bookmarkStart w:id="110" w:name="_Toc496019866"/>
      <w:r w:rsidRPr="003F6306">
        <w:lastRenderedPageBreak/>
        <w:t>Executives and other</w:t>
      </w:r>
      <w:r w:rsidR="00FB2DB6">
        <w:t xml:space="preserve"> </w:t>
      </w:r>
      <w:r w:rsidRPr="003F6306">
        <w:t>non-executive senior staff</w:t>
      </w:r>
      <w:bookmarkEnd w:id="110"/>
    </w:p>
    <w:p w:rsidR="00F601A7" w:rsidRDefault="00F82531" w:rsidP="00F601A7">
      <w:r w:rsidRPr="00F601A7">
        <w:t>Table 15 discloses the annualised total salary for senior employees of the Commission, categorised by classification.</w:t>
      </w:r>
    </w:p>
    <w:p w:rsidR="00F601A7" w:rsidRDefault="00F601A7" w:rsidP="00F601A7"/>
    <w:p w:rsidR="00F601A7" w:rsidRPr="00F601A7" w:rsidRDefault="00F601A7" w:rsidP="00F601A7">
      <w:pPr>
        <w:pStyle w:val="Caption"/>
      </w:pPr>
      <w:bookmarkStart w:id="111" w:name="_Toc496019893"/>
      <w:r>
        <w:t xml:space="preserve">Table </w:t>
      </w:r>
      <w:r>
        <w:fldChar w:fldCharType="begin"/>
      </w:r>
      <w:r>
        <w:instrText xml:space="preserve"> SEQ Table \* ARABIC </w:instrText>
      </w:r>
      <w:r>
        <w:fldChar w:fldCharType="separate"/>
      </w:r>
      <w:r w:rsidR="00DF01C3">
        <w:rPr>
          <w:noProof/>
        </w:rPr>
        <w:t>15</w:t>
      </w:r>
      <w:r>
        <w:fldChar w:fldCharType="end"/>
      </w:r>
      <w:r>
        <w:t xml:space="preserve"> Annualised total salary, by $20,000 bands, for executives and other senior non-executive staff</w:t>
      </w:r>
      <w:bookmarkEnd w:id="111"/>
    </w:p>
    <w:tbl>
      <w:tblPr>
        <w:tblStyle w:val="LightList-Accent1"/>
        <w:tblpPr w:leftFromText="180" w:rightFromText="180" w:vertAnchor="page" w:horzAnchor="margin" w:tblpY="3166"/>
        <w:tblW w:w="0" w:type="auto"/>
        <w:tblLook w:val="04A0" w:firstRow="1" w:lastRow="0" w:firstColumn="1" w:lastColumn="0" w:noHBand="0" w:noVBand="1"/>
      </w:tblPr>
      <w:tblGrid>
        <w:gridCol w:w="2543"/>
        <w:gridCol w:w="1366"/>
        <w:gridCol w:w="845"/>
      </w:tblGrid>
      <w:tr w:rsidR="00F601A7" w:rsidRPr="00F601A7" w:rsidTr="00F60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F601A7" w:rsidRPr="00F601A7" w:rsidRDefault="00F601A7" w:rsidP="00F601A7">
            <w:r w:rsidRPr="00F601A7">
              <w:t>Income band (salary)</w:t>
            </w:r>
          </w:p>
        </w:tc>
        <w:tc>
          <w:tcPr>
            <w:tcW w:w="1366" w:type="dxa"/>
          </w:tcPr>
          <w:p w:rsidR="00F601A7" w:rsidRPr="00F601A7" w:rsidRDefault="00F601A7" w:rsidP="00F601A7">
            <w:pPr>
              <w:cnfStyle w:val="100000000000" w:firstRow="1" w:lastRow="0" w:firstColumn="0" w:lastColumn="0" w:oddVBand="0" w:evenVBand="0" w:oddHBand="0" w:evenHBand="0" w:firstRowFirstColumn="0" w:firstRowLastColumn="0" w:lastRowFirstColumn="0" w:lastRowLastColumn="0"/>
            </w:pPr>
            <w:r w:rsidRPr="00F601A7">
              <w:t>Executives</w:t>
            </w:r>
          </w:p>
        </w:tc>
        <w:tc>
          <w:tcPr>
            <w:tcW w:w="845" w:type="dxa"/>
          </w:tcPr>
          <w:p w:rsidR="00F601A7" w:rsidRPr="00F601A7" w:rsidRDefault="00F601A7" w:rsidP="00F601A7">
            <w:pPr>
              <w:cnfStyle w:val="100000000000" w:firstRow="1" w:lastRow="0" w:firstColumn="0" w:lastColumn="0" w:oddVBand="0" w:evenVBand="0" w:oddHBand="0" w:evenHBand="0" w:firstRowFirstColumn="0" w:firstRowLastColumn="0" w:lastRowFirstColumn="0" w:lastRowLastColumn="0"/>
            </w:pPr>
            <w:r w:rsidRPr="00F601A7">
              <w:t>Other</w:t>
            </w:r>
          </w:p>
        </w:tc>
      </w:tr>
      <w:tr w:rsidR="00F601A7" w:rsidRPr="00F601A7" w:rsidTr="00F60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F601A7" w:rsidRPr="00F601A7" w:rsidRDefault="00F601A7" w:rsidP="00F601A7">
            <w:r w:rsidRPr="00F601A7">
              <w:t>$180,000 - $199,999</w:t>
            </w:r>
          </w:p>
        </w:tc>
        <w:tc>
          <w:tcPr>
            <w:tcW w:w="1366" w:type="dxa"/>
          </w:tcPr>
          <w:p w:rsidR="00F601A7" w:rsidRPr="00F601A7" w:rsidRDefault="00F601A7" w:rsidP="00F601A7">
            <w:pPr>
              <w:cnfStyle w:val="000000100000" w:firstRow="0" w:lastRow="0" w:firstColumn="0" w:lastColumn="0" w:oddVBand="0" w:evenVBand="0" w:oddHBand="1" w:evenHBand="0" w:firstRowFirstColumn="0" w:firstRowLastColumn="0" w:lastRowFirstColumn="0" w:lastRowLastColumn="0"/>
            </w:pPr>
          </w:p>
        </w:tc>
        <w:tc>
          <w:tcPr>
            <w:tcW w:w="845" w:type="dxa"/>
          </w:tcPr>
          <w:p w:rsidR="00F601A7" w:rsidRPr="00F601A7" w:rsidRDefault="00F601A7" w:rsidP="00F601A7">
            <w:pPr>
              <w:cnfStyle w:val="000000100000" w:firstRow="0" w:lastRow="0" w:firstColumn="0" w:lastColumn="0" w:oddVBand="0" w:evenVBand="0" w:oddHBand="1" w:evenHBand="0" w:firstRowFirstColumn="0" w:firstRowLastColumn="0" w:lastRowFirstColumn="0" w:lastRowLastColumn="0"/>
            </w:pPr>
            <w:r w:rsidRPr="00F601A7">
              <w:t>1</w:t>
            </w:r>
          </w:p>
        </w:tc>
      </w:tr>
      <w:tr w:rsidR="00F601A7" w:rsidRPr="00F601A7" w:rsidTr="00F601A7">
        <w:tc>
          <w:tcPr>
            <w:cnfStyle w:val="001000000000" w:firstRow="0" w:lastRow="0" w:firstColumn="1" w:lastColumn="0" w:oddVBand="0" w:evenVBand="0" w:oddHBand="0" w:evenHBand="0" w:firstRowFirstColumn="0" w:firstRowLastColumn="0" w:lastRowFirstColumn="0" w:lastRowLastColumn="0"/>
            <w:tcW w:w="2543" w:type="dxa"/>
          </w:tcPr>
          <w:p w:rsidR="00F601A7" w:rsidRPr="00F601A7" w:rsidRDefault="00F601A7" w:rsidP="00F601A7">
            <w:r w:rsidRPr="00F601A7">
              <w:t>$200,000 - $219,999</w:t>
            </w:r>
          </w:p>
        </w:tc>
        <w:tc>
          <w:tcPr>
            <w:tcW w:w="1366" w:type="dxa"/>
          </w:tcPr>
          <w:p w:rsidR="00F601A7" w:rsidRPr="00F601A7" w:rsidRDefault="00F601A7" w:rsidP="00F601A7">
            <w:pPr>
              <w:cnfStyle w:val="000000000000" w:firstRow="0" w:lastRow="0" w:firstColumn="0" w:lastColumn="0" w:oddVBand="0" w:evenVBand="0" w:oddHBand="0" w:evenHBand="0" w:firstRowFirstColumn="0" w:firstRowLastColumn="0" w:lastRowFirstColumn="0" w:lastRowLastColumn="0"/>
            </w:pPr>
            <w:r w:rsidRPr="00F601A7">
              <w:t>2</w:t>
            </w:r>
          </w:p>
        </w:tc>
        <w:tc>
          <w:tcPr>
            <w:tcW w:w="845" w:type="dxa"/>
          </w:tcPr>
          <w:p w:rsidR="00F601A7" w:rsidRPr="00F601A7" w:rsidRDefault="00F601A7" w:rsidP="00F601A7">
            <w:pPr>
              <w:cnfStyle w:val="000000000000" w:firstRow="0" w:lastRow="0" w:firstColumn="0" w:lastColumn="0" w:oddVBand="0" w:evenVBand="0" w:oddHBand="0" w:evenHBand="0" w:firstRowFirstColumn="0" w:firstRowLastColumn="0" w:lastRowFirstColumn="0" w:lastRowLastColumn="0"/>
            </w:pPr>
          </w:p>
        </w:tc>
      </w:tr>
      <w:tr w:rsidR="00F601A7" w:rsidRPr="00F601A7" w:rsidTr="00F60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F601A7" w:rsidRPr="00F601A7" w:rsidRDefault="00F601A7" w:rsidP="00F601A7">
            <w:r w:rsidRPr="00F601A7">
              <w:t>$220,000 - $239,999</w:t>
            </w:r>
          </w:p>
        </w:tc>
        <w:tc>
          <w:tcPr>
            <w:tcW w:w="1366" w:type="dxa"/>
          </w:tcPr>
          <w:p w:rsidR="00F601A7" w:rsidRPr="00F601A7" w:rsidRDefault="00F601A7" w:rsidP="00F601A7">
            <w:pPr>
              <w:cnfStyle w:val="000000100000" w:firstRow="0" w:lastRow="0" w:firstColumn="0" w:lastColumn="0" w:oddVBand="0" w:evenVBand="0" w:oddHBand="1" w:evenHBand="0" w:firstRowFirstColumn="0" w:firstRowLastColumn="0" w:lastRowFirstColumn="0" w:lastRowLastColumn="0"/>
            </w:pPr>
          </w:p>
        </w:tc>
        <w:tc>
          <w:tcPr>
            <w:tcW w:w="845" w:type="dxa"/>
          </w:tcPr>
          <w:p w:rsidR="00F601A7" w:rsidRPr="00F601A7" w:rsidRDefault="00F601A7" w:rsidP="00F601A7">
            <w:pPr>
              <w:cnfStyle w:val="000000100000" w:firstRow="0" w:lastRow="0" w:firstColumn="0" w:lastColumn="0" w:oddVBand="0" w:evenVBand="0" w:oddHBand="1" w:evenHBand="0" w:firstRowFirstColumn="0" w:firstRowLastColumn="0" w:lastRowFirstColumn="0" w:lastRowLastColumn="0"/>
            </w:pPr>
            <w:r w:rsidRPr="00F601A7">
              <w:t>1</w:t>
            </w:r>
          </w:p>
        </w:tc>
      </w:tr>
      <w:tr w:rsidR="00F601A7" w:rsidRPr="00F601A7" w:rsidTr="00F601A7">
        <w:trPr>
          <w:trHeight w:val="77"/>
        </w:trPr>
        <w:tc>
          <w:tcPr>
            <w:cnfStyle w:val="001000000000" w:firstRow="0" w:lastRow="0" w:firstColumn="1" w:lastColumn="0" w:oddVBand="0" w:evenVBand="0" w:oddHBand="0" w:evenHBand="0" w:firstRowFirstColumn="0" w:firstRowLastColumn="0" w:lastRowFirstColumn="0" w:lastRowLastColumn="0"/>
            <w:tcW w:w="2543" w:type="dxa"/>
          </w:tcPr>
          <w:p w:rsidR="00F601A7" w:rsidRPr="00F601A7" w:rsidRDefault="00F601A7" w:rsidP="00F601A7">
            <w:r w:rsidRPr="00F601A7">
              <w:t>TOTAL</w:t>
            </w:r>
          </w:p>
        </w:tc>
        <w:tc>
          <w:tcPr>
            <w:tcW w:w="1366" w:type="dxa"/>
          </w:tcPr>
          <w:p w:rsidR="00F601A7" w:rsidRPr="00F601A7" w:rsidRDefault="00F601A7" w:rsidP="00F601A7">
            <w:pPr>
              <w:cnfStyle w:val="000000000000" w:firstRow="0" w:lastRow="0" w:firstColumn="0" w:lastColumn="0" w:oddVBand="0" w:evenVBand="0" w:oddHBand="0" w:evenHBand="0" w:firstRowFirstColumn="0" w:firstRowLastColumn="0" w:lastRowFirstColumn="0" w:lastRowLastColumn="0"/>
            </w:pPr>
            <w:r w:rsidRPr="00F601A7">
              <w:t>2</w:t>
            </w:r>
          </w:p>
        </w:tc>
        <w:tc>
          <w:tcPr>
            <w:tcW w:w="845" w:type="dxa"/>
          </w:tcPr>
          <w:p w:rsidR="00F601A7" w:rsidRPr="00F601A7" w:rsidRDefault="00F601A7" w:rsidP="00F601A7">
            <w:pPr>
              <w:cnfStyle w:val="000000000000" w:firstRow="0" w:lastRow="0" w:firstColumn="0" w:lastColumn="0" w:oddVBand="0" w:evenVBand="0" w:oddHBand="0" w:evenHBand="0" w:firstRowFirstColumn="0" w:firstRowLastColumn="0" w:lastRowFirstColumn="0" w:lastRowLastColumn="0"/>
            </w:pPr>
            <w:r w:rsidRPr="00F601A7">
              <w:t>2</w:t>
            </w:r>
          </w:p>
        </w:tc>
      </w:tr>
    </w:tbl>
    <w:p w:rsidR="00F601A7" w:rsidRDefault="00F601A7" w:rsidP="00F601A7"/>
    <w:p w:rsidR="00F601A7" w:rsidRDefault="00F601A7" w:rsidP="00F601A7"/>
    <w:p w:rsidR="00F601A7" w:rsidRDefault="00F601A7" w:rsidP="00F601A7"/>
    <w:p w:rsidR="00F601A7" w:rsidRDefault="00F601A7" w:rsidP="00F601A7"/>
    <w:p w:rsidR="00F601A7" w:rsidRDefault="00F601A7" w:rsidP="00F601A7"/>
    <w:p w:rsidR="00F601A7" w:rsidRDefault="00F601A7" w:rsidP="00F601A7"/>
    <w:p w:rsidR="007A01BD" w:rsidRPr="00F601A7" w:rsidRDefault="00F82531" w:rsidP="00F601A7">
      <w:r w:rsidRPr="00F601A7">
        <w:t>The salary amount is reported as the full-time annualised salary.</w:t>
      </w:r>
    </w:p>
    <w:p w:rsidR="007A01BD" w:rsidRPr="00F601A7" w:rsidRDefault="00F82531" w:rsidP="00F601A7">
      <w:pPr>
        <w:pStyle w:val="Heading2"/>
      </w:pPr>
      <w:bookmarkStart w:id="112" w:name="_Toc496019867"/>
      <w:r w:rsidRPr="00F601A7">
        <w:t>Executive officer data</w:t>
      </w:r>
      <w:bookmarkEnd w:id="112"/>
    </w:p>
    <w:p w:rsidR="007A01BD" w:rsidRDefault="00F82531" w:rsidP="00F601A7">
      <w:r w:rsidRPr="00F601A7">
        <w:t>The number of executive officers employed by the Commission is provided in Table 16, and Table 17 provides a reconciliation of executive numbers in 2016–17 and 2015–16.</w:t>
      </w:r>
    </w:p>
    <w:p w:rsidR="00F601A7" w:rsidRDefault="00F601A7" w:rsidP="00F601A7"/>
    <w:p w:rsidR="00F601A7" w:rsidRDefault="00F601A7" w:rsidP="00F601A7">
      <w:pPr>
        <w:pStyle w:val="Caption"/>
        <w:keepNext/>
      </w:pPr>
      <w:bookmarkStart w:id="113" w:name="_Toc496019894"/>
      <w:r>
        <w:t xml:space="preserve">Table </w:t>
      </w:r>
      <w:r>
        <w:fldChar w:fldCharType="begin"/>
      </w:r>
      <w:r>
        <w:instrText xml:space="preserve"> SEQ Table \* ARABIC </w:instrText>
      </w:r>
      <w:r>
        <w:fldChar w:fldCharType="separate"/>
      </w:r>
      <w:r w:rsidR="00DF01C3">
        <w:rPr>
          <w:noProof/>
        </w:rPr>
        <w:t>16</w:t>
      </w:r>
      <w:r>
        <w:fldChar w:fldCharType="end"/>
      </w:r>
      <w:r>
        <w:t xml:space="preserve"> Total number of EOs for the Commission, by gender</w:t>
      </w:r>
      <w:bookmarkEnd w:id="113"/>
    </w:p>
    <w:tbl>
      <w:tblPr>
        <w:tblStyle w:val="LightList-Accent1"/>
        <w:tblW w:w="6324" w:type="dxa"/>
        <w:tblLayout w:type="fixed"/>
        <w:tblLook w:val="06E0" w:firstRow="1" w:lastRow="1" w:firstColumn="1" w:lastColumn="0" w:noHBand="1" w:noVBand="1"/>
      </w:tblPr>
      <w:tblGrid>
        <w:gridCol w:w="2146"/>
        <w:gridCol w:w="693"/>
        <w:gridCol w:w="693"/>
        <w:gridCol w:w="693"/>
        <w:gridCol w:w="585"/>
        <w:gridCol w:w="790"/>
        <w:gridCol w:w="724"/>
      </w:tblGrid>
      <w:tr w:rsidR="00F601A7" w:rsidRPr="00892DE3" w:rsidTr="00F60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rsidR="00F601A7" w:rsidRPr="00892DE3" w:rsidRDefault="00F601A7" w:rsidP="00F601A7"/>
        </w:tc>
        <w:tc>
          <w:tcPr>
            <w:tcW w:w="1386" w:type="dxa"/>
            <w:gridSpan w:val="2"/>
          </w:tcPr>
          <w:p w:rsidR="00F601A7" w:rsidRPr="00892DE3" w:rsidRDefault="00F601A7" w:rsidP="00F601A7">
            <w:pPr>
              <w:jc w:val="center"/>
              <w:cnfStyle w:val="100000000000" w:firstRow="1" w:lastRow="0" w:firstColumn="0" w:lastColumn="0" w:oddVBand="0" w:evenVBand="0" w:oddHBand="0" w:evenHBand="0" w:firstRowFirstColumn="0" w:firstRowLastColumn="0" w:lastRowFirstColumn="0" w:lastRowLastColumn="0"/>
            </w:pPr>
            <w:r w:rsidRPr="00892DE3">
              <w:t>All</w:t>
            </w:r>
          </w:p>
        </w:tc>
        <w:tc>
          <w:tcPr>
            <w:tcW w:w="1278" w:type="dxa"/>
            <w:gridSpan w:val="2"/>
          </w:tcPr>
          <w:p w:rsidR="00F601A7" w:rsidRPr="00892DE3" w:rsidRDefault="00F601A7" w:rsidP="00F601A7">
            <w:pPr>
              <w:jc w:val="center"/>
              <w:cnfStyle w:val="100000000000" w:firstRow="1" w:lastRow="0" w:firstColumn="0" w:lastColumn="0" w:oddVBand="0" w:evenVBand="0" w:oddHBand="0" w:evenHBand="0" w:firstRowFirstColumn="0" w:firstRowLastColumn="0" w:lastRowFirstColumn="0" w:lastRowLastColumn="0"/>
            </w:pPr>
            <w:r w:rsidRPr="00892DE3">
              <w:t>Male</w:t>
            </w:r>
          </w:p>
        </w:tc>
        <w:tc>
          <w:tcPr>
            <w:tcW w:w="1514" w:type="dxa"/>
            <w:gridSpan w:val="2"/>
          </w:tcPr>
          <w:p w:rsidR="00F601A7" w:rsidRPr="00892DE3" w:rsidRDefault="00F601A7" w:rsidP="00F601A7">
            <w:pPr>
              <w:jc w:val="center"/>
              <w:cnfStyle w:val="100000000000" w:firstRow="1" w:lastRow="0" w:firstColumn="0" w:lastColumn="0" w:oddVBand="0" w:evenVBand="0" w:oddHBand="0" w:evenHBand="0" w:firstRowFirstColumn="0" w:firstRowLastColumn="0" w:lastRowFirstColumn="0" w:lastRowLastColumn="0"/>
            </w:pPr>
            <w:r w:rsidRPr="00892DE3">
              <w:t>Female</w:t>
            </w:r>
          </w:p>
        </w:tc>
      </w:tr>
      <w:tr w:rsidR="00F601A7" w:rsidRPr="00892DE3" w:rsidTr="00F601A7">
        <w:tc>
          <w:tcPr>
            <w:cnfStyle w:val="001000000000" w:firstRow="0" w:lastRow="0" w:firstColumn="1" w:lastColumn="0" w:oddVBand="0" w:evenVBand="0" w:oddHBand="0" w:evenHBand="0" w:firstRowFirstColumn="0" w:firstRowLastColumn="0" w:lastRowFirstColumn="0" w:lastRowLastColumn="0"/>
            <w:tcW w:w="2146" w:type="dxa"/>
          </w:tcPr>
          <w:p w:rsidR="00F601A7" w:rsidRPr="00892DE3" w:rsidRDefault="00F601A7" w:rsidP="00F601A7">
            <w:r w:rsidRPr="00892DE3">
              <w:t>Class</w:t>
            </w:r>
          </w:p>
        </w:tc>
        <w:tc>
          <w:tcPr>
            <w:tcW w:w="693"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rsidRPr="00892DE3">
              <w:t>No.</w:t>
            </w:r>
          </w:p>
        </w:tc>
        <w:tc>
          <w:tcPr>
            <w:tcW w:w="693"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rsidRPr="00892DE3">
              <w:t>Var.</w:t>
            </w:r>
          </w:p>
        </w:tc>
        <w:tc>
          <w:tcPr>
            <w:tcW w:w="693"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rsidRPr="00892DE3">
              <w:t>No.</w:t>
            </w:r>
          </w:p>
        </w:tc>
        <w:tc>
          <w:tcPr>
            <w:tcW w:w="585"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rsidRPr="00892DE3">
              <w:t>Var.</w:t>
            </w:r>
          </w:p>
        </w:tc>
        <w:tc>
          <w:tcPr>
            <w:tcW w:w="790"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rsidRPr="00892DE3">
              <w:t>No.</w:t>
            </w:r>
          </w:p>
        </w:tc>
        <w:tc>
          <w:tcPr>
            <w:tcW w:w="724"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rsidRPr="00892DE3">
              <w:t>Var.</w:t>
            </w:r>
          </w:p>
        </w:tc>
      </w:tr>
      <w:tr w:rsidR="00F601A7" w:rsidRPr="00892DE3" w:rsidTr="00F601A7">
        <w:tc>
          <w:tcPr>
            <w:cnfStyle w:val="001000000000" w:firstRow="0" w:lastRow="0" w:firstColumn="1" w:lastColumn="0" w:oddVBand="0" w:evenVBand="0" w:oddHBand="0" w:evenHBand="0" w:firstRowFirstColumn="0" w:firstRowLastColumn="0" w:lastRowFirstColumn="0" w:lastRowLastColumn="0"/>
            <w:tcW w:w="2146" w:type="dxa"/>
          </w:tcPr>
          <w:p w:rsidR="00F601A7" w:rsidRPr="00892DE3" w:rsidRDefault="00F601A7" w:rsidP="00F601A7">
            <w:r w:rsidRPr="00892DE3">
              <w:t>EO</w:t>
            </w:r>
            <w:r w:rsidRPr="00892DE3">
              <w:noBreakHyphen/>
              <w:t>3</w:t>
            </w:r>
          </w:p>
        </w:tc>
        <w:tc>
          <w:tcPr>
            <w:tcW w:w="693"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t>2</w:t>
            </w:r>
          </w:p>
        </w:tc>
        <w:tc>
          <w:tcPr>
            <w:tcW w:w="693"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t>1</w:t>
            </w:r>
          </w:p>
        </w:tc>
        <w:tc>
          <w:tcPr>
            <w:tcW w:w="693"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t>0</w:t>
            </w:r>
          </w:p>
        </w:tc>
        <w:tc>
          <w:tcPr>
            <w:tcW w:w="585"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t>-</w:t>
            </w:r>
          </w:p>
        </w:tc>
        <w:tc>
          <w:tcPr>
            <w:tcW w:w="790"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t>2</w:t>
            </w:r>
          </w:p>
        </w:tc>
        <w:tc>
          <w:tcPr>
            <w:tcW w:w="724" w:type="dxa"/>
          </w:tcPr>
          <w:p w:rsidR="00F601A7" w:rsidRPr="00892DE3" w:rsidRDefault="00F601A7" w:rsidP="00F601A7">
            <w:pPr>
              <w:cnfStyle w:val="000000000000" w:firstRow="0" w:lastRow="0" w:firstColumn="0" w:lastColumn="0" w:oddVBand="0" w:evenVBand="0" w:oddHBand="0" w:evenHBand="0" w:firstRowFirstColumn="0" w:firstRowLastColumn="0" w:lastRowFirstColumn="0" w:lastRowLastColumn="0"/>
            </w:pPr>
            <w:r>
              <w:t>1</w:t>
            </w:r>
          </w:p>
        </w:tc>
      </w:tr>
      <w:tr w:rsidR="00F601A7" w:rsidRPr="00892DE3" w:rsidTr="00F601A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rsidR="00F601A7" w:rsidRPr="00892DE3" w:rsidRDefault="00F601A7" w:rsidP="00F601A7">
            <w:r w:rsidRPr="00892DE3">
              <w:t>Total</w:t>
            </w:r>
          </w:p>
        </w:tc>
        <w:tc>
          <w:tcPr>
            <w:tcW w:w="693" w:type="dxa"/>
          </w:tcPr>
          <w:p w:rsidR="00F601A7" w:rsidRPr="00892DE3" w:rsidRDefault="00F601A7" w:rsidP="00F601A7">
            <w:pPr>
              <w:cnfStyle w:val="010000000000" w:firstRow="0" w:lastRow="1" w:firstColumn="0" w:lastColumn="0" w:oddVBand="0" w:evenVBand="0" w:oddHBand="0" w:evenHBand="0" w:firstRowFirstColumn="0" w:firstRowLastColumn="0" w:lastRowFirstColumn="0" w:lastRowLastColumn="0"/>
            </w:pPr>
            <w:r>
              <w:t>2</w:t>
            </w:r>
          </w:p>
        </w:tc>
        <w:tc>
          <w:tcPr>
            <w:tcW w:w="693" w:type="dxa"/>
          </w:tcPr>
          <w:p w:rsidR="00F601A7" w:rsidRPr="00892DE3" w:rsidRDefault="00F601A7" w:rsidP="00F601A7">
            <w:pPr>
              <w:cnfStyle w:val="010000000000" w:firstRow="0" w:lastRow="1" w:firstColumn="0" w:lastColumn="0" w:oddVBand="0" w:evenVBand="0" w:oddHBand="0" w:evenHBand="0" w:firstRowFirstColumn="0" w:firstRowLastColumn="0" w:lastRowFirstColumn="0" w:lastRowLastColumn="0"/>
            </w:pPr>
            <w:r>
              <w:t>1</w:t>
            </w:r>
          </w:p>
        </w:tc>
        <w:tc>
          <w:tcPr>
            <w:tcW w:w="693" w:type="dxa"/>
          </w:tcPr>
          <w:p w:rsidR="00F601A7" w:rsidRPr="00892DE3" w:rsidRDefault="00F601A7" w:rsidP="00F601A7">
            <w:pPr>
              <w:cnfStyle w:val="010000000000" w:firstRow="0" w:lastRow="1" w:firstColumn="0" w:lastColumn="0" w:oddVBand="0" w:evenVBand="0" w:oddHBand="0" w:evenHBand="0" w:firstRowFirstColumn="0" w:firstRowLastColumn="0" w:lastRowFirstColumn="0" w:lastRowLastColumn="0"/>
            </w:pPr>
          </w:p>
        </w:tc>
        <w:tc>
          <w:tcPr>
            <w:tcW w:w="585" w:type="dxa"/>
          </w:tcPr>
          <w:p w:rsidR="00F601A7" w:rsidRPr="00892DE3" w:rsidRDefault="00F601A7" w:rsidP="00F601A7">
            <w:pPr>
              <w:cnfStyle w:val="010000000000" w:firstRow="0" w:lastRow="1" w:firstColumn="0" w:lastColumn="0" w:oddVBand="0" w:evenVBand="0" w:oddHBand="0" w:evenHBand="0" w:firstRowFirstColumn="0" w:firstRowLastColumn="0" w:lastRowFirstColumn="0" w:lastRowLastColumn="0"/>
            </w:pPr>
          </w:p>
        </w:tc>
        <w:tc>
          <w:tcPr>
            <w:tcW w:w="790" w:type="dxa"/>
          </w:tcPr>
          <w:p w:rsidR="00F601A7" w:rsidRPr="00892DE3" w:rsidRDefault="00F601A7" w:rsidP="00F601A7">
            <w:pPr>
              <w:cnfStyle w:val="010000000000" w:firstRow="0" w:lastRow="1" w:firstColumn="0" w:lastColumn="0" w:oddVBand="0" w:evenVBand="0" w:oddHBand="0" w:evenHBand="0" w:firstRowFirstColumn="0" w:firstRowLastColumn="0" w:lastRowFirstColumn="0" w:lastRowLastColumn="0"/>
            </w:pPr>
            <w:r>
              <w:t>2</w:t>
            </w:r>
          </w:p>
        </w:tc>
        <w:tc>
          <w:tcPr>
            <w:tcW w:w="724" w:type="dxa"/>
          </w:tcPr>
          <w:p w:rsidR="00F601A7" w:rsidRPr="00892DE3" w:rsidRDefault="00F601A7" w:rsidP="00F601A7">
            <w:pPr>
              <w:cnfStyle w:val="010000000000" w:firstRow="0" w:lastRow="1" w:firstColumn="0" w:lastColumn="0" w:oddVBand="0" w:evenVBand="0" w:oddHBand="0" w:evenHBand="0" w:firstRowFirstColumn="0" w:firstRowLastColumn="0" w:lastRowFirstColumn="0" w:lastRowLastColumn="0"/>
            </w:pPr>
            <w:r>
              <w:t>1</w:t>
            </w:r>
          </w:p>
        </w:tc>
      </w:tr>
    </w:tbl>
    <w:p w:rsidR="00F601A7" w:rsidRDefault="00F601A7" w:rsidP="00F601A7">
      <w:pPr>
        <w:pStyle w:val="Caption"/>
      </w:pPr>
    </w:p>
    <w:p w:rsidR="00F601A7" w:rsidRDefault="00F601A7" w:rsidP="00F601A7">
      <w:pPr>
        <w:pStyle w:val="Caption"/>
      </w:pPr>
      <w:bookmarkStart w:id="114" w:name="_Toc496019895"/>
      <w:r>
        <w:t xml:space="preserve">Table </w:t>
      </w:r>
      <w:r>
        <w:fldChar w:fldCharType="begin"/>
      </w:r>
      <w:r>
        <w:instrText xml:space="preserve"> SEQ Table \* ARABIC </w:instrText>
      </w:r>
      <w:r>
        <w:fldChar w:fldCharType="separate"/>
      </w:r>
      <w:r w:rsidR="00DF01C3">
        <w:rPr>
          <w:noProof/>
        </w:rPr>
        <w:t>17</w:t>
      </w:r>
      <w:r>
        <w:fldChar w:fldCharType="end"/>
      </w:r>
      <w:r>
        <w:t xml:space="preserve"> Reconciliation of executive numbers</w:t>
      </w:r>
      <w:bookmarkEnd w:id="114"/>
    </w:p>
    <w:tbl>
      <w:tblPr>
        <w:tblStyle w:val="LightList-Accent1"/>
        <w:tblW w:w="8143" w:type="dxa"/>
        <w:tblLayout w:type="fixed"/>
        <w:tblLook w:val="0660" w:firstRow="1" w:lastRow="1" w:firstColumn="0" w:lastColumn="0" w:noHBand="1" w:noVBand="1"/>
      </w:tblPr>
      <w:tblGrid>
        <w:gridCol w:w="943"/>
        <w:gridCol w:w="5580"/>
        <w:gridCol w:w="810"/>
        <w:gridCol w:w="810"/>
      </w:tblGrid>
      <w:tr w:rsidR="00F601A7" w:rsidRPr="00892DE3" w:rsidTr="00F601A7">
        <w:trPr>
          <w:cnfStyle w:val="100000000000" w:firstRow="1" w:lastRow="0" w:firstColumn="0" w:lastColumn="0" w:oddVBand="0" w:evenVBand="0" w:oddHBand="0" w:evenHBand="0" w:firstRowFirstColumn="0" w:firstRowLastColumn="0" w:lastRowFirstColumn="0" w:lastRowLastColumn="0"/>
        </w:trPr>
        <w:tc>
          <w:tcPr>
            <w:tcW w:w="943" w:type="dxa"/>
          </w:tcPr>
          <w:p w:rsidR="00F601A7" w:rsidRPr="00892DE3" w:rsidRDefault="00F601A7" w:rsidP="00F601A7">
            <w:pPr>
              <w:rPr>
                <w:i/>
              </w:rPr>
            </w:pPr>
          </w:p>
        </w:tc>
        <w:tc>
          <w:tcPr>
            <w:tcW w:w="5580" w:type="dxa"/>
          </w:tcPr>
          <w:p w:rsidR="00F601A7" w:rsidRPr="00892DE3" w:rsidRDefault="00F601A7" w:rsidP="00F601A7"/>
        </w:tc>
        <w:tc>
          <w:tcPr>
            <w:tcW w:w="810" w:type="dxa"/>
          </w:tcPr>
          <w:p w:rsidR="00F601A7" w:rsidRPr="00892DE3" w:rsidRDefault="00F601A7" w:rsidP="00F601A7">
            <w:r w:rsidRPr="00892DE3">
              <w:t>201</w:t>
            </w:r>
            <w:r>
              <w:t>6-17</w:t>
            </w:r>
          </w:p>
        </w:tc>
        <w:tc>
          <w:tcPr>
            <w:tcW w:w="810" w:type="dxa"/>
          </w:tcPr>
          <w:p w:rsidR="00F601A7" w:rsidRPr="00892DE3" w:rsidRDefault="00F601A7" w:rsidP="00F601A7">
            <w:r w:rsidRPr="00892DE3">
              <w:t>201</w:t>
            </w:r>
            <w:r>
              <w:t>5-16</w:t>
            </w:r>
          </w:p>
        </w:tc>
      </w:tr>
      <w:tr w:rsidR="00F601A7" w:rsidRPr="00892DE3" w:rsidTr="00F601A7">
        <w:tc>
          <w:tcPr>
            <w:tcW w:w="943" w:type="dxa"/>
          </w:tcPr>
          <w:p w:rsidR="00F601A7" w:rsidRPr="00892DE3" w:rsidRDefault="00F601A7" w:rsidP="00F601A7"/>
        </w:tc>
        <w:tc>
          <w:tcPr>
            <w:tcW w:w="5580" w:type="dxa"/>
          </w:tcPr>
          <w:p w:rsidR="00F601A7" w:rsidRPr="00892DE3" w:rsidRDefault="00F601A7" w:rsidP="00F601A7">
            <w:r w:rsidRPr="00892DE3">
              <w:t xml:space="preserve">Executives </w:t>
            </w:r>
          </w:p>
        </w:tc>
        <w:tc>
          <w:tcPr>
            <w:tcW w:w="810" w:type="dxa"/>
          </w:tcPr>
          <w:p w:rsidR="00F601A7" w:rsidRPr="00892DE3" w:rsidRDefault="00F601A7" w:rsidP="00F601A7">
            <w:r>
              <w:t>2</w:t>
            </w:r>
          </w:p>
        </w:tc>
        <w:tc>
          <w:tcPr>
            <w:tcW w:w="810" w:type="dxa"/>
          </w:tcPr>
          <w:p w:rsidR="00F601A7" w:rsidRPr="00892DE3" w:rsidRDefault="00F601A7" w:rsidP="00F601A7">
            <w:r>
              <w:t>1</w:t>
            </w:r>
          </w:p>
        </w:tc>
      </w:tr>
      <w:tr w:rsidR="00F601A7" w:rsidRPr="00892DE3" w:rsidTr="00F601A7">
        <w:tc>
          <w:tcPr>
            <w:tcW w:w="943" w:type="dxa"/>
          </w:tcPr>
          <w:p w:rsidR="00F601A7" w:rsidRPr="00892DE3" w:rsidRDefault="00F601A7" w:rsidP="00F601A7"/>
        </w:tc>
        <w:tc>
          <w:tcPr>
            <w:tcW w:w="5580" w:type="dxa"/>
          </w:tcPr>
          <w:p w:rsidR="00F601A7" w:rsidRPr="00892DE3" w:rsidRDefault="00F601A7" w:rsidP="00F601A7">
            <w:r>
              <w:t>Non-executive senior staff</w:t>
            </w:r>
          </w:p>
        </w:tc>
        <w:tc>
          <w:tcPr>
            <w:tcW w:w="810" w:type="dxa"/>
          </w:tcPr>
          <w:p w:rsidR="00F601A7" w:rsidRDefault="00F601A7" w:rsidP="00F601A7">
            <w:r>
              <w:t>1</w:t>
            </w:r>
          </w:p>
        </w:tc>
        <w:tc>
          <w:tcPr>
            <w:tcW w:w="810" w:type="dxa"/>
          </w:tcPr>
          <w:p w:rsidR="00F601A7" w:rsidRDefault="00F601A7" w:rsidP="00F601A7">
            <w:r>
              <w:t>2</w:t>
            </w:r>
          </w:p>
        </w:tc>
      </w:tr>
      <w:tr w:rsidR="00F601A7" w:rsidRPr="00892DE3" w:rsidTr="00F601A7">
        <w:tc>
          <w:tcPr>
            <w:tcW w:w="943" w:type="dxa"/>
          </w:tcPr>
          <w:p w:rsidR="00F601A7" w:rsidRPr="00892DE3" w:rsidRDefault="00F601A7" w:rsidP="00F601A7"/>
        </w:tc>
        <w:tc>
          <w:tcPr>
            <w:tcW w:w="5580" w:type="dxa"/>
          </w:tcPr>
          <w:p w:rsidR="00F601A7" w:rsidRPr="00892DE3" w:rsidRDefault="00F601A7" w:rsidP="00F601A7">
            <w:r w:rsidRPr="00892DE3">
              <w:t xml:space="preserve">Accountable Officer </w:t>
            </w:r>
          </w:p>
        </w:tc>
        <w:tc>
          <w:tcPr>
            <w:tcW w:w="810" w:type="dxa"/>
          </w:tcPr>
          <w:p w:rsidR="00F601A7" w:rsidRPr="00892DE3" w:rsidRDefault="00F601A7" w:rsidP="00F601A7">
            <w:r>
              <w:t>1</w:t>
            </w:r>
          </w:p>
        </w:tc>
        <w:tc>
          <w:tcPr>
            <w:tcW w:w="810" w:type="dxa"/>
          </w:tcPr>
          <w:p w:rsidR="00F601A7" w:rsidRPr="00892DE3" w:rsidRDefault="00F601A7" w:rsidP="00F601A7">
            <w:r>
              <w:t>3</w:t>
            </w:r>
          </w:p>
        </w:tc>
      </w:tr>
      <w:tr w:rsidR="00F601A7" w:rsidRPr="00892DE3" w:rsidTr="00F601A7">
        <w:trPr>
          <w:trHeight w:val="80"/>
        </w:trPr>
        <w:tc>
          <w:tcPr>
            <w:tcW w:w="943" w:type="dxa"/>
          </w:tcPr>
          <w:p w:rsidR="00F601A7" w:rsidRPr="00892DE3" w:rsidRDefault="00F601A7" w:rsidP="00F601A7">
            <w:pPr>
              <w:rPr>
                <w:i/>
              </w:rPr>
            </w:pPr>
            <w:r w:rsidRPr="00892DE3">
              <w:rPr>
                <w:i/>
              </w:rPr>
              <w:t>Less</w:t>
            </w:r>
          </w:p>
        </w:tc>
        <w:tc>
          <w:tcPr>
            <w:tcW w:w="5580" w:type="dxa"/>
          </w:tcPr>
          <w:p w:rsidR="00F601A7" w:rsidRPr="00892DE3" w:rsidRDefault="00F601A7" w:rsidP="00F601A7">
            <w:r w:rsidRPr="00892DE3">
              <w:t>Separations</w:t>
            </w:r>
          </w:p>
        </w:tc>
        <w:tc>
          <w:tcPr>
            <w:tcW w:w="810" w:type="dxa"/>
          </w:tcPr>
          <w:p w:rsidR="00F601A7" w:rsidRPr="00892DE3" w:rsidRDefault="00F601A7" w:rsidP="00F601A7">
            <w:r>
              <w:t>-</w:t>
            </w:r>
          </w:p>
        </w:tc>
        <w:tc>
          <w:tcPr>
            <w:tcW w:w="810" w:type="dxa"/>
          </w:tcPr>
          <w:p w:rsidR="00F601A7" w:rsidRPr="00892DE3" w:rsidRDefault="00F601A7" w:rsidP="00F601A7">
            <w:r>
              <w:t>(3)</w:t>
            </w:r>
          </w:p>
        </w:tc>
      </w:tr>
      <w:tr w:rsidR="00F601A7" w:rsidRPr="00892DE3" w:rsidTr="00F601A7">
        <w:trPr>
          <w:cnfStyle w:val="010000000000" w:firstRow="0" w:lastRow="1" w:firstColumn="0" w:lastColumn="0" w:oddVBand="0" w:evenVBand="0" w:oddHBand="0" w:evenHBand="0" w:firstRowFirstColumn="0" w:firstRowLastColumn="0" w:lastRowFirstColumn="0" w:lastRowLastColumn="0"/>
        </w:trPr>
        <w:tc>
          <w:tcPr>
            <w:tcW w:w="943" w:type="dxa"/>
          </w:tcPr>
          <w:p w:rsidR="00F601A7" w:rsidRPr="00892DE3" w:rsidRDefault="00F601A7" w:rsidP="00F601A7"/>
        </w:tc>
        <w:tc>
          <w:tcPr>
            <w:tcW w:w="5580" w:type="dxa"/>
          </w:tcPr>
          <w:p w:rsidR="00F601A7" w:rsidRPr="00892DE3" w:rsidRDefault="00F601A7" w:rsidP="00F601A7">
            <w:r w:rsidRPr="00892DE3">
              <w:t>Total executive numbers at 30 June</w:t>
            </w:r>
          </w:p>
        </w:tc>
        <w:tc>
          <w:tcPr>
            <w:tcW w:w="810" w:type="dxa"/>
          </w:tcPr>
          <w:p w:rsidR="00F601A7" w:rsidRPr="00892DE3" w:rsidRDefault="00F601A7" w:rsidP="00F601A7">
            <w:r>
              <w:t>4</w:t>
            </w:r>
          </w:p>
        </w:tc>
        <w:tc>
          <w:tcPr>
            <w:tcW w:w="810" w:type="dxa"/>
          </w:tcPr>
          <w:p w:rsidR="00F601A7" w:rsidRPr="00892DE3" w:rsidRDefault="00F601A7" w:rsidP="00F601A7">
            <w:r>
              <w:t>3</w:t>
            </w:r>
          </w:p>
        </w:tc>
      </w:tr>
    </w:tbl>
    <w:p w:rsidR="007A01BD" w:rsidRPr="00F601A7" w:rsidRDefault="00F82531" w:rsidP="00F601A7">
      <w:r w:rsidRPr="00F601A7">
        <w:t>Table 17 lists the actual number of EOs and non-executive senior staff over the reporting period. Separations are executives and non-executive senior staff who have left the Commission during the reporting period.</w:t>
      </w:r>
    </w:p>
    <w:p w:rsidR="007A01BD" w:rsidRPr="003F6306" w:rsidRDefault="00F82531" w:rsidP="00FB2DB6">
      <w:pPr>
        <w:pStyle w:val="Heading1"/>
      </w:pPr>
      <w:bookmarkStart w:id="115" w:name="_Toc496019868"/>
      <w:r w:rsidRPr="003F6306">
        <w:lastRenderedPageBreak/>
        <w:t>Appendix 4. Other disclosures</w:t>
      </w:r>
      <w:bookmarkEnd w:id="115"/>
    </w:p>
    <w:p w:rsidR="007A01BD" w:rsidRPr="003F6306" w:rsidRDefault="00F82531" w:rsidP="00FB2DB6">
      <w:pPr>
        <w:pStyle w:val="Heading2"/>
      </w:pPr>
      <w:bookmarkStart w:id="116" w:name="_Toc496019869"/>
      <w:r w:rsidRPr="003F6306">
        <w:t>Local jobs first – Victorian Industry Participation Policy</w:t>
      </w:r>
      <w:bookmarkEnd w:id="116"/>
    </w:p>
    <w:p w:rsidR="007A01BD" w:rsidRPr="003F6306" w:rsidRDefault="00F82531" w:rsidP="00FB2DB6">
      <w:r w:rsidRPr="003F6306">
        <w:t>The Victorian Industry Participation Policy Act 2003 requires departments and public</w:t>
      </w:r>
      <w:r w:rsidR="00FB2DB6">
        <w:t xml:space="preserve"> </w:t>
      </w:r>
      <w:r w:rsidRPr="003F6306">
        <w:t>sector bodies to report on the implementation of the Local Jobs First – Victorian Industry Participation Policy (Local Jobs First – VIPP). Departments and public sector bodies are required to apply the Local Jobs First – VIPP in all procurement activities valued at $3 million</w:t>
      </w:r>
      <w:r w:rsidR="00FB2DB6">
        <w:t xml:space="preserve"> </w:t>
      </w:r>
      <w:r w:rsidRPr="003F6306">
        <w:t>or more in metropolitan Melbourne and for statewide projects, or $1 million or more for procurement activities in regional Victoria.</w:t>
      </w:r>
    </w:p>
    <w:p w:rsidR="007A01BD" w:rsidRPr="003F6306" w:rsidRDefault="00F82531" w:rsidP="00FB2DB6">
      <w:r w:rsidRPr="003F6306">
        <w:t>We did not engage in any applicable tenders during the reporting period.</w:t>
      </w:r>
    </w:p>
    <w:p w:rsidR="007A01BD" w:rsidRPr="003F6306" w:rsidRDefault="00F82531" w:rsidP="00FB2DB6">
      <w:pPr>
        <w:pStyle w:val="Heading2"/>
      </w:pPr>
      <w:bookmarkStart w:id="117" w:name="_Toc496019870"/>
      <w:r w:rsidRPr="003F6306">
        <w:t>Advertising expenditure</w:t>
      </w:r>
      <w:bookmarkEnd w:id="117"/>
    </w:p>
    <w:p w:rsidR="007A01BD" w:rsidRDefault="00F82531" w:rsidP="00F16EC5">
      <w:r w:rsidRPr="003F6306">
        <w:t>In 2016–17 we commissioned one advertising campaign to the value of $122,000 (Table 18).</w:t>
      </w:r>
    </w:p>
    <w:p w:rsidR="003D5081" w:rsidRDefault="003D5081" w:rsidP="00F16EC5"/>
    <w:p w:rsidR="003D5081" w:rsidRDefault="003D5081" w:rsidP="003D5081">
      <w:pPr>
        <w:pStyle w:val="Caption"/>
      </w:pPr>
      <w:bookmarkStart w:id="118" w:name="_Toc496019896"/>
      <w:r>
        <w:t xml:space="preserve">Table </w:t>
      </w:r>
      <w:r>
        <w:fldChar w:fldCharType="begin"/>
      </w:r>
      <w:r>
        <w:instrText xml:space="preserve"> SEQ Table \* ARABIC </w:instrText>
      </w:r>
      <w:r>
        <w:fldChar w:fldCharType="separate"/>
      </w:r>
      <w:r w:rsidR="00DF01C3">
        <w:rPr>
          <w:noProof/>
        </w:rPr>
        <w:t>18</w:t>
      </w:r>
      <w:r>
        <w:fldChar w:fldCharType="end"/>
      </w:r>
      <w:r>
        <w:t xml:space="preserve"> Details of advertising expenditure</w:t>
      </w:r>
      <w:bookmarkEnd w:id="118"/>
    </w:p>
    <w:tbl>
      <w:tblPr>
        <w:tblStyle w:val="LightList-Accent1"/>
        <w:tblW w:w="0" w:type="auto"/>
        <w:tblLook w:val="04A0" w:firstRow="1" w:lastRow="0" w:firstColumn="1" w:lastColumn="0" w:noHBand="0" w:noVBand="1"/>
      </w:tblPr>
      <w:tblGrid>
        <w:gridCol w:w="972"/>
        <w:gridCol w:w="1035"/>
        <w:gridCol w:w="632"/>
        <w:gridCol w:w="1133"/>
        <w:gridCol w:w="1220"/>
        <w:gridCol w:w="1135"/>
        <w:gridCol w:w="1132"/>
        <w:gridCol w:w="1131"/>
        <w:gridCol w:w="900"/>
      </w:tblGrid>
      <w:tr w:rsidR="003D5081" w:rsidRPr="003D5081" w:rsidTr="003D5081">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0" w:type="auto"/>
            <w:hideMark/>
          </w:tcPr>
          <w:p w:rsidR="00D31A6D" w:rsidRPr="003D5081" w:rsidRDefault="00D31A6D" w:rsidP="00C95C0B">
            <w:pPr>
              <w:rPr>
                <w:sz w:val="16"/>
                <w:szCs w:val="18"/>
                <w:lang w:eastAsia="en-AU"/>
              </w:rPr>
            </w:pPr>
            <w:r w:rsidRPr="003D5081">
              <w:rPr>
                <w:sz w:val="16"/>
                <w:szCs w:val="18"/>
                <w:lang w:eastAsia="en-AU"/>
              </w:rPr>
              <w:t>Name of campaign</w:t>
            </w:r>
          </w:p>
        </w:tc>
        <w:tc>
          <w:tcPr>
            <w:tcW w:w="0" w:type="auto"/>
            <w:hideMark/>
          </w:tcPr>
          <w:p w:rsidR="00D31A6D" w:rsidRPr="003D5081" w:rsidRDefault="00D31A6D" w:rsidP="00C95C0B">
            <w:pPr>
              <w:cnfStyle w:val="100000000000" w:firstRow="1" w:lastRow="0" w:firstColumn="0" w:lastColumn="0" w:oddVBand="0" w:evenVBand="0" w:oddHBand="0" w:evenHBand="0" w:firstRowFirstColumn="0" w:firstRowLastColumn="0" w:lastRowFirstColumn="0" w:lastRowLastColumn="0"/>
              <w:rPr>
                <w:sz w:val="16"/>
                <w:szCs w:val="18"/>
                <w:lang w:eastAsia="en-AU"/>
              </w:rPr>
            </w:pPr>
            <w:r w:rsidRPr="003D5081">
              <w:rPr>
                <w:sz w:val="16"/>
                <w:szCs w:val="18"/>
                <w:lang w:eastAsia="en-AU"/>
              </w:rPr>
              <w:t>Campaign summary</w:t>
            </w:r>
          </w:p>
        </w:tc>
        <w:tc>
          <w:tcPr>
            <w:tcW w:w="0" w:type="auto"/>
            <w:hideMark/>
          </w:tcPr>
          <w:p w:rsidR="00D31A6D" w:rsidRPr="003D5081" w:rsidRDefault="00D31A6D" w:rsidP="00C95C0B">
            <w:pPr>
              <w:cnfStyle w:val="100000000000" w:firstRow="1" w:lastRow="0" w:firstColumn="0" w:lastColumn="0" w:oddVBand="0" w:evenVBand="0" w:oddHBand="0" w:evenHBand="0" w:firstRowFirstColumn="0" w:firstRowLastColumn="0" w:lastRowFirstColumn="0" w:lastRowLastColumn="0"/>
              <w:rPr>
                <w:sz w:val="16"/>
                <w:szCs w:val="18"/>
                <w:lang w:eastAsia="en-AU"/>
              </w:rPr>
            </w:pPr>
            <w:r w:rsidRPr="003D5081">
              <w:rPr>
                <w:sz w:val="16"/>
                <w:szCs w:val="18"/>
                <w:lang w:eastAsia="en-AU"/>
              </w:rPr>
              <w:t>Start/</w:t>
            </w:r>
            <w:r w:rsidR="003D5081" w:rsidRPr="003D5081">
              <w:rPr>
                <w:sz w:val="16"/>
                <w:szCs w:val="18"/>
                <w:lang w:eastAsia="en-AU"/>
              </w:rPr>
              <w:br/>
              <w:t>end date</w:t>
            </w:r>
          </w:p>
        </w:tc>
        <w:tc>
          <w:tcPr>
            <w:tcW w:w="0" w:type="auto"/>
            <w:hideMark/>
          </w:tcPr>
          <w:p w:rsidR="00D31A6D" w:rsidRPr="003D5081" w:rsidRDefault="00D31A6D" w:rsidP="00C95C0B">
            <w:pPr>
              <w:cnfStyle w:val="100000000000" w:firstRow="1" w:lastRow="0" w:firstColumn="0" w:lastColumn="0" w:oddVBand="0" w:evenVBand="0" w:oddHBand="0" w:evenHBand="0" w:firstRowFirstColumn="0" w:firstRowLastColumn="0" w:lastRowFirstColumn="0" w:lastRowLastColumn="0"/>
              <w:rPr>
                <w:sz w:val="16"/>
                <w:szCs w:val="18"/>
                <w:lang w:eastAsia="en-AU"/>
              </w:rPr>
            </w:pPr>
            <w:r w:rsidRPr="003D5081">
              <w:rPr>
                <w:sz w:val="16"/>
                <w:szCs w:val="18"/>
                <w:lang w:eastAsia="en-AU"/>
              </w:rPr>
              <w:t>Advertising (media) expenditure</w:t>
            </w:r>
          </w:p>
        </w:tc>
        <w:tc>
          <w:tcPr>
            <w:tcW w:w="0" w:type="auto"/>
            <w:hideMark/>
          </w:tcPr>
          <w:p w:rsidR="00D31A6D" w:rsidRPr="003D5081" w:rsidRDefault="00D31A6D" w:rsidP="00C95C0B">
            <w:pPr>
              <w:cnfStyle w:val="100000000000" w:firstRow="1" w:lastRow="0" w:firstColumn="0" w:lastColumn="0" w:oddVBand="0" w:evenVBand="0" w:oddHBand="0" w:evenHBand="0" w:firstRowFirstColumn="0" w:firstRowLastColumn="0" w:lastRowFirstColumn="0" w:lastRowLastColumn="0"/>
              <w:rPr>
                <w:sz w:val="16"/>
                <w:szCs w:val="18"/>
                <w:lang w:eastAsia="en-AU"/>
              </w:rPr>
            </w:pPr>
            <w:r w:rsidRPr="003D5081">
              <w:rPr>
                <w:sz w:val="16"/>
                <w:szCs w:val="18"/>
                <w:lang w:eastAsia="en-AU"/>
              </w:rPr>
              <w:t xml:space="preserve">Creative and campaign development expenditure </w:t>
            </w:r>
          </w:p>
        </w:tc>
        <w:tc>
          <w:tcPr>
            <w:tcW w:w="0" w:type="auto"/>
            <w:hideMark/>
          </w:tcPr>
          <w:p w:rsidR="00D31A6D" w:rsidRPr="003D5081" w:rsidRDefault="00D31A6D" w:rsidP="00C95C0B">
            <w:pPr>
              <w:cnfStyle w:val="100000000000" w:firstRow="1" w:lastRow="0" w:firstColumn="0" w:lastColumn="0" w:oddVBand="0" w:evenVBand="0" w:oddHBand="0" w:evenHBand="0" w:firstRowFirstColumn="0" w:firstRowLastColumn="0" w:lastRowFirstColumn="0" w:lastRowLastColumn="0"/>
              <w:rPr>
                <w:sz w:val="16"/>
                <w:szCs w:val="18"/>
                <w:lang w:eastAsia="en-AU"/>
              </w:rPr>
            </w:pPr>
            <w:r w:rsidRPr="003D5081">
              <w:rPr>
                <w:sz w:val="16"/>
                <w:szCs w:val="18"/>
                <w:lang w:eastAsia="en-AU"/>
              </w:rPr>
              <w:t xml:space="preserve">Research and evaluation expenditure </w:t>
            </w:r>
          </w:p>
        </w:tc>
        <w:tc>
          <w:tcPr>
            <w:tcW w:w="0" w:type="auto"/>
            <w:hideMark/>
          </w:tcPr>
          <w:p w:rsidR="00D31A6D" w:rsidRPr="003D5081" w:rsidRDefault="00D31A6D" w:rsidP="00C95C0B">
            <w:pPr>
              <w:cnfStyle w:val="100000000000" w:firstRow="1" w:lastRow="0" w:firstColumn="0" w:lastColumn="0" w:oddVBand="0" w:evenVBand="0" w:oddHBand="0" w:evenHBand="0" w:firstRowFirstColumn="0" w:firstRowLastColumn="0" w:lastRowFirstColumn="0" w:lastRowLastColumn="0"/>
              <w:rPr>
                <w:sz w:val="16"/>
                <w:szCs w:val="18"/>
                <w:lang w:eastAsia="en-AU"/>
              </w:rPr>
            </w:pPr>
            <w:r w:rsidRPr="003D5081">
              <w:rPr>
                <w:sz w:val="16"/>
                <w:szCs w:val="18"/>
                <w:lang w:eastAsia="en-AU"/>
              </w:rPr>
              <w:t xml:space="preserve">Print and collateral expenditure </w:t>
            </w:r>
          </w:p>
        </w:tc>
        <w:tc>
          <w:tcPr>
            <w:tcW w:w="0" w:type="auto"/>
            <w:hideMark/>
          </w:tcPr>
          <w:p w:rsidR="00D31A6D" w:rsidRPr="003D5081" w:rsidRDefault="00D31A6D" w:rsidP="00C95C0B">
            <w:pPr>
              <w:cnfStyle w:val="100000000000" w:firstRow="1" w:lastRow="0" w:firstColumn="0" w:lastColumn="0" w:oddVBand="0" w:evenVBand="0" w:oddHBand="0" w:evenHBand="0" w:firstRowFirstColumn="0" w:firstRowLastColumn="0" w:lastRowFirstColumn="0" w:lastRowLastColumn="0"/>
              <w:rPr>
                <w:sz w:val="16"/>
                <w:szCs w:val="18"/>
                <w:lang w:eastAsia="en-AU"/>
              </w:rPr>
            </w:pPr>
            <w:r w:rsidRPr="003D5081">
              <w:rPr>
                <w:sz w:val="16"/>
                <w:szCs w:val="18"/>
                <w:lang w:eastAsia="en-AU"/>
              </w:rPr>
              <w:t xml:space="preserve">Other campaign expenditure </w:t>
            </w:r>
          </w:p>
        </w:tc>
        <w:tc>
          <w:tcPr>
            <w:tcW w:w="0" w:type="auto"/>
            <w:hideMark/>
          </w:tcPr>
          <w:p w:rsidR="00D31A6D" w:rsidRPr="003D5081" w:rsidRDefault="00D31A6D" w:rsidP="00C95C0B">
            <w:pPr>
              <w:cnfStyle w:val="100000000000" w:firstRow="1" w:lastRow="0" w:firstColumn="0" w:lastColumn="0" w:oddVBand="0" w:evenVBand="0" w:oddHBand="0" w:evenHBand="0" w:firstRowFirstColumn="0" w:firstRowLastColumn="0" w:lastRowFirstColumn="0" w:lastRowLastColumn="0"/>
              <w:rPr>
                <w:sz w:val="16"/>
                <w:szCs w:val="18"/>
                <w:lang w:eastAsia="en-AU"/>
              </w:rPr>
            </w:pPr>
            <w:r w:rsidRPr="003D5081">
              <w:rPr>
                <w:sz w:val="16"/>
                <w:szCs w:val="18"/>
                <w:lang w:eastAsia="en-AU"/>
              </w:rPr>
              <w:t>Total</w:t>
            </w:r>
          </w:p>
        </w:tc>
      </w:tr>
      <w:tr w:rsidR="00D31A6D" w:rsidRPr="002741EF" w:rsidTr="003D5081">
        <w:trPr>
          <w:cnfStyle w:val="000000100000" w:firstRow="0" w:lastRow="0" w:firstColumn="0" w:lastColumn="0" w:oddVBand="0" w:evenVBand="0" w:oddHBand="1" w:evenHBand="0" w:firstRowFirstColumn="0" w:firstRowLastColumn="0" w:lastRowFirstColumn="0" w:lastRowLastColumn="0"/>
          <w:trHeight w:val="2715"/>
        </w:trPr>
        <w:tc>
          <w:tcPr>
            <w:cnfStyle w:val="001000000000" w:firstRow="0" w:lastRow="0" w:firstColumn="1" w:lastColumn="0" w:oddVBand="0" w:evenVBand="0" w:oddHBand="0" w:evenHBand="0" w:firstRowFirstColumn="0" w:firstRowLastColumn="0" w:lastRowFirstColumn="0" w:lastRowLastColumn="0"/>
            <w:tcW w:w="0" w:type="auto"/>
            <w:hideMark/>
          </w:tcPr>
          <w:p w:rsidR="00D31A6D" w:rsidRPr="005C7F8E" w:rsidRDefault="00D31A6D" w:rsidP="00C95C0B">
            <w:pPr>
              <w:rPr>
                <w:rFonts w:ascii="Calibri" w:hAnsi="Calibri" w:cs="Times New Roman"/>
                <w:color w:val="000000"/>
                <w:sz w:val="18"/>
                <w:szCs w:val="18"/>
                <w:lang w:eastAsia="en-AU"/>
              </w:rPr>
            </w:pPr>
            <w:r w:rsidRPr="005C7F8E">
              <w:rPr>
                <w:rFonts w:ascii="Calibri" w:hAnsi="Calibri" w:cs="Times New Roman"/>
                <w:color w:val="000000"/>
                <w:sz w:val="18"/>
                <w:szCs w:val="18"/>
                <w:lang w:eastAsia="en-AU"/>
              </w:rPr>
              <w:t>Child Safe Standards</w:t>
            </w:r>
          </w:p>
        </w:tc>
        <w:tc>
          <w:tcPr>
            <w:tcW w:w="0" w:type="auto"/>
            <w:hideMark/>
          </w:tcPr>
          <w:p w:rsidR="00D31A6D" w:rsidRPr="005C7F8E" w:rsidRDefault="00D31A6D" w:rsidP="00C95C0B">
            <w:pPr>
              <w:ind w:firstLine="220"/>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Pr>
                <w:rFonts w:ascii="Calibri" w:hAnsi="Calibri"/>
                <w:color w:val="000000"/>
                <w:sz w:val="14"/>
                <w:szCs w:val="14"/>
              </w:rPr>
              <w:t xml:space="preserve">Digital campaign to promote awareness of and readiness for Victoria’s Child Safe Standards legislation, which came into effect 1 January 2017. </w:t>
            </w:r>
          </w:p>
        </w:tc>
        <w:tc>
          <w:tcPr>
            <w:tcW w:w="0" w:type="auto"/>
            <w:hideMark/>
          </w:tcPr>
          <w:p w:rsidR="00D31A6D" w:rsidRPr="005C7F8E" w:rsidRDefault="00D31A6D" w:rsidP="00C95C0B">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Pr>
                <w:rFonts w:ascii="Calibri" w:hAnsi="Calibri" w:cs="Times New Roman"/>
                <w:color w:val="000000"/>
                <w:sz w:val="18"/>
                <w:szCs w:val="18"/>
                <w:lang w:eastAsia="en-AU"/>
              </w:rPr>
              <w:t>Sep 2016</w:t>
            </w:r>
            <w:r w:rsidRPr="005C7F8E">
              <w:rPr>
                <w:rFonts w:ascii="Calibri" w:hAnsi="Calibri" w:cs="Times New Roman"/>
                <w:color w:val="000000"/>
                <w:sz w:val="18"/>
                <w:szCs w:val="18"/>
                <w:lang w:eastAsia="en-AU"/>
              </w:rPr>
              <w:t xml:space="preserve"> – </w:t>
            </w:r>
            <w:r>
              <w:rPr>
                <w:rFonts w:ascii="Calibri" w:hAnsi="Calibri" w:cs="Times New Roman"/>
                <w:color w:val="000000"/>
                <w:sz w:val="18"/>
                <w:szCs w:val="18"/>
                <w:lang w:eastAsia="en-AU"/>
              </w:rPr>
              <w:t>Dec</w:t>
            </w:r>
            <w:r w:rsidRPr="005C7F8E">
              <w:rPr>
                <w:rFonts w:ascii="Calibri" w:hAnsi="Calibri" w:cs="Times New Roman"/>
                <w:color w:val="000000"/>
                <w:sz w:val="18"/>
                <w:szCs w:val="18"/>
                <w:lang w:eastAsia="en-AU"/>
              </w:rPr>
              <w:t xml:space="preserve"> 2017</w:t>
            </w:r>
          </w:p>
        </w:tc>
        <w:tc>
          <w:tcPr>
            <w:tcW w:w="0" w:type="auto"/>
            <w:hideMark/>
          </w:tcPr>
          <w:p w:rsidR="00D31A6D" w:rsidRPr="005C7F8E" w:rsidRDefault="00D31A6D" w:rsidP="00C95C0B">
            <w:pPr>
              <w:ind w:firstLine="18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Pr>
                <w:rFonts w:ascii="Calibri" w:hAnsi="Calibri" w:cs="Times New Roman"/>
                <w:color w:val="000000"/>
                <w:sz w:val="18"/>
                <w:szCs w:val="18"/>
                <w:lang w:eastAsia="en-AU"/>
              </w:rPr>
              <w:t>$</w:t>
            </w:r>
            <w:r w:rsidRPr="005C7F8E">
              <w:rPr>
                <w:rFonts w:ascii="Calibri" w:hAnsi="Calibri" w:cs="Times New Roman"/>
                <w:color w:val="000000"/>
                <w:sz w:val="18"/>
                <w:szCs w:val="18"/>
                <w:lang w:eastAsia="en-AU"/>
              </w:rPr>
              <w:t>54,815</w:t>
            </w:r>
          </w:p>
        </w:tc>
        <w:tc>
          <w:tcPr>
            <w:tcW w:w="0" w:type="auto"/>
            <w:hideMark/>
          </w:tcPr>
          <w:p w:rsidR="00D31A6D" w:rsidRPr="005C7F8E" w:rsidRDefault="00D31A6D" w:rsidP="00C95C0B">
            <w:pPr>
              <w:ind w:firstLine="18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Pr>
                <w:rFonts w:ascii="Calibri" w:hAnsi="Calibri" w:cs="Times New Roman"/>
                <w:color w:val="000000"/>
                <w:sz w:val="18"/>
                <w:szCs w:val="18"/>
                <w:lang w:eastAsia="en-AU"/>
              </w:rPr>
              <w:t>$</w:t>
            </w:r>
            <w:r w:rsidRPr="005C7F8E">
              <w:rPr>
                <w:rFonts w:ascii="Calibri" w:hAnsi="Calibri" w:cs="Times New Roman"/>
                <w:color w:val="000000"/>
                <w:sz w:val="18"/>
                <w:szCs w:val="18"/>
                <w:lang w:eastAsia="en-AU"/>
              </w:rPr>
              <w:t>52,991</w:t>
            </w:r>
          </w:p>
        </w:tc>
        <w:tc>
          <w:tcPr>
            <w:tcW w:w="0" w:type="auto"/>
            <w:hideMark/>
          </w:tcPr>
          <w:p w:rsidR="00D31A6D" w:rsidRPr="005C7F8E" w:rsidRDefault="00D31A6D" w:rsidP="00C95C0B">
            <w:pPr>
              <w:ind w:firstLine="18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Pr>
                <w:rFonts w:ascii="Calibri" w:hAnsi="Calibri" w:cs="Times New Roman"/>
                <w:color w:val="000000"/>
                <w:sz w:val="18"/>
                <w:szCs w:val="18"/>
                <w:lang w:eastAsia="en-AU"/>
              </w:rPr>
              <w:t>$</w:t>
            </w:r>
            <w:r w:rsidRPr="005C7F8E">
              <w:rPr>
                <w:rFonts w:ascii="Calibri" w:hAnsi="Calibri" w:cs="Times New Roman"/>
                <w:color w:val="000000"/>
                <w:sz w:val="18"/>
                <w:szCs w:val="18"/>
                <w:lang w:eastAsia="en-AU"/>
              </w:rPr>
              <w:t>14,960</w:t>
            </w:r>
          </w:p>
        </w:tc>
        <w:tc>
          <w:tcPr>
            <w:tcW w:w="0" w:type="auto"/>
            <w:hideMark/>
          </w:tcPr>
          <w:p w:rsidR="00D31A6D" w:rsidRPr="005C7F8E" w:rsidRDefault="00D31A6D" w:rsidP="00C95C0B">
            <w:pPr>
              <w:ind w:firstLine="18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5C7F8E">
              <w:rPr>
                <w:rFonts w:ascii="Calibri" w:hAnsi="Calibri" w:cs="Times New Roman"/>
                <w:color w:val="000000"/>
                <w:sz w:val="18"/>
                <w:szCs w:val="18"/>
                <w:lang w:eastAsia="en-AU"/>
              </w:rPr>
              <w:t> </w:t>
            </w:r>
          </w:p>
        </w:tc>
        <w:tc>
          <w:tcPr>
            <w:tcW w:w="0" w:type="auto"/>
            <w:hideMark/>
          </w:tcPr>
          <w:p w:rsidR="00D31A6D" w:rsidRPr="005C7F8E" w:rsidRDefault="00D31A6D" w:rsidP="00C95C0B">
            <w:pPr>
              <w:ind w:firstLine="18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sidRPr="005C7F8E">
              <w:rPr>
                <w:rFonts w:ascii="Calibri" w:hAnsi="Calibri" w:cs="Times New Roman"/>
                <w:color w:val="000000"/>
                <w:sz w:val="18"/>
                <w:szCs w:val="18"/>
                <w:lang w:eastAsia="en-AU"/>
              </w:rPr>
              <w:t> </w:t>
            </w:r>
          </w:p>
        </w:tc>
        <w:tc>
          <w:tcPr>
            <w:tcW w:w="0" w:type="auto"/>
            <w:hideMark/>
          </w:tcPr>
          <w:p w:rsidR="00D31A6D" w:rsidRPr="005C7F8E" w:rsidRDefault="00D31A6D" w:rsidP="00C95C0B">
            <w:pPr>
              <w:ind w:firstLine="180"/>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lang w:eastAsia="en-AU"/>
              </w:rPr>
            </w:pPr>
            <w:r>
              <w:rPr>
                <w:rFonts w:ascii="Calibri" w:hAnsi="Calibri" w:cs="Times New Roman"/>
                <w:color w:val="000000"/>
                <w:sz w:val="18"/>
                <w:szCs w:val="18"/>
                <w:lang w:eastAsia="en-AU"/>
              </w:rPr>
              <w:t>$</w:t>
            </w:r>
            <w:r w:rsidRPr="005C7F8E">
              <w:rPr>
                <w:rFonts w:ascii="Calibri" w:hAnsi="Calibri" w:cs="Times New Roman"/>
                <w:color w:val="000000"/>
                <w:sz w:val="18"/>
                <w:szCs w:val="18"/>
                <w:lang w:eastAsia="en-AU"/>
              </w:rPr>
              <w:t>122,766</w:t>
            </w:r>
          </w:p>
        </w:tc>
      </w:tr>
    </w:tbl>
    <w:p w:rsidR="007A01BD" w:rsidRPr="003F6306" w:rsidRDefault="00F82531" w:rsidP="00FB2DB6">
      <w:pPr>
        <w:pStyle w:val="Heading2"/>
      </w:pPr>
      <w:bookmarkStart w:id="119" w:name="_Toc496019871"/>
      <w:r w:rsidRPr="003F6306">
        <w:t>Consultancy expenditure</w:t>
      </w:r>
      <w:bookmarkEnd w:id="119"/>
    </w:p>
    <w:p w:rsidR="007A01BD" w:rsidRPr="003F6306" w:rsidRDefault="00F82531" w:rsidP="00FB2DB6">
      <w:pPr>
        <w:pStyle w:val="Heading3"/>
      </w:pPr>
      <w:r w:rsidRPr="00FB2DB6">
        <w:t>Consultancies</w:t>
      </w:r>
      <w:r w:rsidRPr="003F6306">
        <w:t xml:space="preserve"> $10,000 or greater</w:t>
      </w:r>
    </w:p>
    <w:p w:rsidR="007A01BD" w:rsidRDefault="00F82531" w:rsidP="00FB2DB6">
      <w:r w:rsidRPr="003F6306">
        <w:t>In 2016–17 we engaged four consultancies with individual costs greater than $10,000. The total value of those consultancies was</w:t>
      </w:r>
      <w:r w:rsidR="00FB2DB6">
        <w:t xml:space="preserve"> </w:t>
      </w:r>
      <w:r w:rsidRPr="003F6306">
        <w:t>$125,523 (Table 19).</w:t>
      </w:r>
    </w:p>
    <w:p w:rsidR="00DF01C3" w:rsidRDefault="00DF01C3">
      <w:pPr>
        <w:spacing w:before="0"/>
      </w:pPr>
      <w:r>
        <w:br w:type="page"/>
      </w:r>
    </w:p>
    <w:p w:rsidR="00DF01C3" w:rsidRDefault="00DF01C3" w:rsidP="00FB2DB6"/>
    <w:p w:rsidR="00DF01C3" w:rsidRDefault="00DF01C3" w:rsidP="00DF01C3">
      <w:pPr>
        <w:pStyle w:val="Caption"/>
      </w:pPr>
      <w:bookmarkStart w:id="120" w:name="_Toc496019897"/>
      <w:r>
        <w:t xml:space="preserve">Table </w:t>
      </w:r>
      <w:r>
        <w:fldChar w:fldCharType="begin"/>
      </w:r>
      <w:r>
        <w:instrText xml:space="preserve"> SEQ Table \* ARABIC </w:instrText>
      </w:r>
      <w:r>
        <w:fldChar w:fldCharType="separate"/>
      </w:r>
      <w:r>
        <w:rPr>
          <w:noProof/>
        </w:rPr>
        <w:t>19</w:t>
      </w:r>
      <w:r>
        <w:fldChar w:fldCharType="end"/>
      </w:r>
      <w:r>
        <w:t xml:space="preserve"> Consultancies valued at $10,000</w:t>
      </w:r>
      <w:r>
        <w:rPr>
          <w:noProof/>
        </w:rPr>
        <w:t xml:space="preserve"> or greater</w:t>
      </w:r>
      <w:bookmarkEnd w:id="120"/>
    </w:p>
    <w:tbl>
      <w:tblPr>
        <w:tblStyle w:val="LightList-Accent1"/>
        <w:tblW w:w="8946" w:type="dxa"/>
        <w:tblLayout w:type="fixed"/>
        <w:tblLook w:val="0660" w:firstRow="1" w:lastRow="1" w:firstColumn="0" w:lastColumn="0" w:noHBand="1" w:noVBand="1"/>
      </w:tblPr>
      <w:tblGrid>
        <w:gridCol w:w="1213"/>
        <w:gridCol w:w="2346"/>
        <w:gridCol w:w="1701"/>
        <w:gridCol w:w="1559"/>
        <w:gridCol w:w="2127"/>
      </w:tblGrid>
      <w:tr w:rsidR="00DF01C3" w:rsidRPr="00892DE3" w:rsidTr="00DF01C3">
        <w:trPr>
          <w:cnfStyle w:val="100000000000" w:firstRow="1" w:lastRow="0" w:firstColumn="0" w:lastColumn="0" w:oddVBand="0" w:evenVBand="0" w:oddHBand="0" w:evenHBand="0" w:firstRowFirstColumn="0" w:firstRowLastColumn="0" w:lastRowFirstColumn="0" w:lastRowLastColumn="0"/>
          <w:trHeight w:val="482"/>
        </w:trPr>
        <w:tc>
          <w:tcPr>
            <w:tcW w:w="1213" w:type="dxa"/>
          </w:tcPr>
          <w:p w:rsidR="00DF01C3" w:rsidRPr="00892DE3" w:rsidRDefault="00DF01C3" w:rsidP="00C95C0B">
            <w:r w:rsidRPr="00892DE3">
              <w:t>Consultant</w:t>
            </w:r>
          </w:p>
        </w:tc>
        <w:tc>
          <w:tcPr>
            <w:tcW w:w="2346" w:type="dxa"/>
          </w:tcPr>
          <w:p w:rsidR="00DF01C3" w:rsidRPr="00892DE3" w:rsidRDefault="00DF01C3" w:rsidP="00C95C0B">
            <w:r w:rsidRPr="00892DE3">
              <w:t xml:space="preserve">Purpose of </w:t>
            </w:r>
            <w:r w:rsidRPr="00892DE3">
              <w:br/>
              <w:t>consultancy</w:t>
            </w:r>
          </w:p>
        </w:tc>
        <w:tc>
          <w:tcPr>
            <w:tcW w:w="1701" w:type="dxa"/>
          </w:tcPr>
          <w:p w:rsidR="00DF01C3" w:rsidRPr="00892DE3" w:rsidRDefault="00DF01C3" w:rsidP="00C95C0B">
            <w:r w:rsidRPr="00892DE3">
              <w:t>Total approved project fee (excl. GST)</w:t>
            </w:r>
          </w:p>
        </w:tc>
        <w:tc>
          <w:tcPr>
            <w:tcW w:w="1559" w:type="dxa"/>
          </w:tcPr>
          <w:p w:rsidR="00DF01C3" w:rsidRPr="00892DE3" w:rsidRDefault="00DF01C3" w:rsidP="00C95C0B">
            <w:r w:rsidRPr="00892DE3">
              <w:t>Expenditure 2016</w:t>
            </w:r>
            <w:r w:rsidRPr="00892DE3">
              <w:noBreakHyphen/>
              <w:t>17 (excl. GST)</w:t>
            </w:r>
          </w:p>
        </w:tc>
        <w:tc>
          <w:tcPr>
            <w:tcW w:w="2127" w:type="dxa"/>
          </w:tcPr>
          <w:p w:rsidR="00DF01C3" w:rsidRPr="00892DE3" w:rsidRDefault="00DF01C3" w:rsidP="00C95C0B">
            <w:r w:rsidRPr="00892DE3">
              <w:t>Future expenditure (excl. GST)</w:t>
            </w:r>
          </w:p>
        </w:tc>
      </w:tr>
      <w:tr w:rsidR="00DF01C3" w:rsidRPr="00892DE3" w:rsidTr="00DF01C3">
        <w:trPr>
          <w:trHeight w:val="361"/>
        </w:trPr>
        <w:tc>
          <w:tcPr>
            <w:tcW w:w="1213" w:type="dxa"/>
          </w:tcPr>
          <w:p w:rsidR="00DF01C3" w:rsidRPr="005C7F8E" w:rsidRDefault="00DF01C3" w:rsidP="00C95C0B">
            <w:pPr>
              <w:rPr>
                <w:sz w:val="20"/>
              </w:rPr>
            </w:pPr>
            <w:r w:rsidRPr="005C7F8E">
              <w:rPr>
                <w:rFonts w:eastAsia="Times New Roman" w:cs="Arial"/>
                <w:sz w:val="20"/>
              </w:rPr>
              <w:t>Dwycon Pty Ltd</w:t>
            </w:r>
          </w:p>
        </w:tc>
        <w:tc>
          <w:tcPr>
            <w:tcW w:w="2346" w:type="dxa"/>
          </w:tcPr>
          <w:p w:rsidR="00DF01C3" w:rsidRPr="005C7F8E" w:rsidRDefault="00DF01C3" w:rsidP="00C95C0B">
            <w:pPr>
              <w:rPr>
                <w:sz w:val="20"/>
              </w:rPr>
            </w:pPr>
            <w:r w:rsidRPr="005C7F8E">
              <w:rPr>
                <w:rFonts w:eastAsia="Times New Roman" w:cs="Arial"/>
                <w:sz w:val="20"/>
              </w:rPr>
              <w:t>Inquiry into provsion of services to children and families where family violence is a factor</w:t>
            </w:r>
          </w:p>
        </w:tc>
        <w:tc>
          <w:tcPr>
            <w:tcW w:w="1701" w:type="dxa"/>
          </w:tcPr>
          <w:p w:rsidR="00DF01C3" w:rsidRPr="005C7F8E" w:rsidRDefault="00DF01C3" w:rsidP="00C95C0B">
            <w:pPr>
              <w:jc w:val="right"/>
              <w:rPr>
                <w:rFonts w:cs="Arial"/>
                <w:color w:val="000000"/>
                <w:sz w:val="20"/>
              </w:rPr>
            </w:pPr>
            <w:r>
              <w:rPr>
                <w:rFonts w:cs="Arial"/>
                <w:color w:val="000000"/>
                <w:sz w:val="20"/>
              </w:rPr>
              <w:t>$</w:t>
            </w:r>
            <w:r w:rsidRPr="005C7F8E">
              <w:rPr>
                <w:rFonts w:cs="Arial"/>
                <w:color w:val="000000"/>
                <w:sz w:val="20"/>
              </w:rPr>
              <w:t xml:space="preserve">38,250 </w:t>
            </w:r>
          </w:p>
          <w:p w:rsidR="00DF01C3" w:rsidRPr="005C7F8E" w:rsidRDefault="00DF01C3" w:rsidP="00C95C0B">
            <w:pPr>
              <w:jc w:val="right"/>
              <w:rPr>
                <w:sz w:val="20"/>
              </w:rPr>
            </w:pPr>
          </w:p>
        </w:tc>
        <w:tc>
          <w:tcPr>
            <w:tcW w:w="1559" w:type="dxa"/>
          </w:tcPr>
          <w:p w:rsidR="00DF01C3" w:rsidRPr="005C7F8E" w:rsidRDefault="00DF01C3" w:rsidP="00C95C0B">
            <w:pPr>
              <w:jc w:val="right"/>
              <w:rPr>
                <w:rFonts w:cs="Arial"/>
                <w:color w:val="000000"/>
                <w:sz w:val="20"/>
              </w:rPr>
            </w:pPr>
            <w:r>
              <w:rPr>
                <w:rFonts w:cs="Arial"/>
                <w:color w:val="000000"/>
                <w:sz w:val="20"/>
              </w:rPr>
              <w:t>$</w:t>
            </w:r>
            <w:r w:rsidRPr="005C7F8E">
              <w:rPr>
                <w:rFonts w:cs="Arial"/>
                <w:color w:val="000000"/>
                <w:sz w:val="20"/>
              </w:rPr>
              <w:t xml:space="preserve">38,250 </w:t>
            </w:r>
          </w:p>
          <w:p w:rsidR="00DF01C3" w:rsidRPr="005C7F8E" w:rsidRDefault="00DF01C3" w:rsidP="00C95C0B">
            <w:pPr>
              <w:jc w:val="right"/>
              <w:rPr>
                <w:sz w:val="20"/>
              </w:rPr>
            </w:pPr>
          </w:p>
        </w:tc>
        <w:tc>
          <w:tcPr>
            <w:tcW w:w="2127" w:type="dxa"/>
          </w:tcPr>
          <w:p w:rsidR="00DF01C3" w:rsidRPr="005C7F8E" w:rsidRDefault="00DF01C3" w:rsidP="00C95C0B">
            <w:pPr>
              <w:jc w:val="right"/>
              <w:rPr>
                <w:sz w:val="20"/>
              </w:rPr>
            </w:pPr>
            <w:r w:rsidRPr="005C7F8E">
              <w:rPr>
                <w:rFonts w:eastAsia="Times New Roman" w:cs="Arial"/>
                <w:sz w:val="20"/>
              </w:rPr>
              <w:t>-</w:t>
            </w:r>
          </w:p>
        </w:tc>
      </w:tr>
      <w:tr w:rsidR="00DF01C3" w:rsidRPr="00892DE3" w:rsidTr="00DF01C3">
        <w:trPr>
          <w:trHeight w:val="74"/>
        </w:trPr>
        <w:tc>
          <w:tcPr>
            <w:tcW w:w="1213" w:type="dxa"/>
          </w:tcPr>
          <w:p w:rsidR="00DF01C3" w:rsidRPr="005C7F8E" w:rsidRDefault="00DF01C3" w:rsidP="00C95C0B">
            <w:pPr>
              <w:rPr>
                <w:sz w:val="20"/>
              </w:rPr>
            </w:pPr>
            <w:r w:rsidRPr="005C7F8E">
              <w:rPr>
                <w:rFonts w:eastAsia="Times New Roman" w:cs="Arial"/>
                <w:sz w:val="20"/>
              </w:rPr>
              <w:t>Jenny Dwyer Associates</w:t>
            </w:r>
          </w:p>
        </w:tc>
        <w:tc>
          <w:tcPr>
            <w:tcW w:w="2346" w:type="dxa"/>
          </w:tcPr>
          <w:p w:rsidR="00DF01C3" w:rsidRPr="005C7F8E" w:rsidRDefault="00DF01C3" w:rsidP="00C95C0B">
            <w:pPr>
              <w:rPr>
                <w:sz w:val="20"/>
              </w:rPr>
            </w:pPr>
            <w:r w:rsidRPr="005C7F8E">
              <w:rPr>
                <w:rFonts w:eastAsia="Times New Roman" w:cs="Arial"/>
                <w:sz w:val="20"/>
              </w:rPr>
              <w:t>Contribution to Inquiry report</w:t>
            </w:r>
            <w:r>
              <w:rPr>
                <w:rFonts w:cs="Arial"/>
                <w:sz w:val="20"/>
              </w:rPr>
              <w:t xml:space="preserve"> into isolation, separation and lockdowns</w:t>
            </w:r>
          </w:p>
        </w:tc>
        <w:tc>
          <w:tcPr>
            <w:tcW w:w="1701" w:type="dxa"/>
          </w:tcPr>
          <w:p w:rsidR="00DF01C3" w:rsidRPr="005C7F8E" w:rsidRDefault="00DF01C3" w:rsidP="00C95C0B">
            <w:pPr>
              <w:jc w:val="right"/>
              <w:rPr>
                <w:sz w:val="20"/>
              </w:rPr>
            </w:pPr>
            <w:r w:rsidRPr="005C7F8E">
              <w:rPr>
                <w:rFonts w:eastAsia="Times New Roman" w:cs="Arial"/>
                <w:sz w:val="20"/>
              </w:rPr>
              <w:t xml:space="preserve">                </w:t>
            </w:r>
            <w:r>
              <w:rPr>
                <w:rFonts w:eastAsia="Times New Roman" w:cs="Arial"/>
                <w:sz w:val="20"/>
              </w:rPr>
              <w:t>$</w:t>
            </w:r>
            <w:r w:rsidRPr="005C7F8E">
              <w:rPr>
                <w:rFonts w:eastAsia="Times New Roman" w:cs="Arial"/>
                <w:sz w:val="20"/>
              </w:rPr>
              <w:t xml:space="preserve"> 31,500 </w:t>
            </w:r>
          </w:p>
        </w:tc>
        <w:tc>
          <w:tcPr>
            <w:tcW w:w="1559" w:type="dxa"/>
          </w:tcPr>
          <w:p w:rsidR="00DF01C3" w:rsidRPr="005C7F8E" w:rsidRDefault="00DF01C3" w:rsidP="00C95C0B">
            <w:pPr>
              <w:jc w:val="right"/>
              <w:rPr>
                <w:sz w:val="20"/>
              </w:rPr>
            </w:pPr>
            <w:r w:rsidRPr="005C7F8E">
              <w:rPr>
                <w:rFonts w:eastAsia="Times New Roman" w:cs="Arial"/>
                <w:sz w:val="20"/>
              </w:rPr>
              <w:t xml:space="preserve">                                                  </w:t>
            </w:r>
            <w:r>
              <w:rPr>
                <w:rFonts w:eastAsia="Times New Roman" w:cs="Arial"/>
                <w:sz w:val="20"/>
              </w:rPr>
              <w:t>$</w:t>
            </w:r>
            <w:r w:rsidRPr="005C7F8E">
              <w:rPr>
                <w:rFonts w:eastAsia="Times New Roman" w:cs="Arial"/>
                <w:sz w:val="20"/>
              </w:rPr>
              <w:t xml:space="preserve">31,500 </w:t>
            </w:r>
          </w:p>
        </w:tc>
        <w:tc>
          <w:tcPr>
            <w:tcW w:w="2127" w:type="dxa"/>
          </w:tcPr>
          <w:p w:rsidR="00DF01C3" w:rsidRPr="005C7F8E" w:rsidRDefault="00DF01C3" w:rsidP="00C95C0B">
            <w:pPr>
              <w:jc w:val="right"/>
              <w:rPr>
                <w:sz w:val="20"/>
              </w:rPr>
            </w:pPr>
            <w:r w:rsidRPr="005C7F8E">
              <w:rPr>
                <w:rFonts w:eastAsia="Times New Roman" w:cs="Arial"/>
                <w:sz w:val="20"/>
              </w:rPr>
              <w:t> -</w:t>
            </w:r>
          </w:p>
        </w:tc>
      </w:tr>
      <w:tr w:rsidR="00DF01C3" w:rsidRPr="00892DE3" w:rsidTr="00DF01C3">
        <w:trPr>
          <w:trHeight w:val="74"/>
        </w:trPr>
        <w:tc>
          <w:tcPr>
            <w:tcW w:w="1213" w:type="dxa"/>
          </w:tcPr>
          <w:p w:rsidR="00DF01C3" w:rsidRPr="00641638" w:rsidRDefault="00DF01C3" w:rsidP="00C95C0B">
            <w:pPr>
              <w:rPr>
                <w:rFonts w:cs="Arial"/>
                <w:sz w:val="20"/>
              </w:rPr>
            </w:pPr>
            <w:r>
              <w:rPr>
                <w:rFonts w:cs="Arial"/>
                <w:sz w:val="20"/>
              </w:rPr>
              <w:t>Ernst &amp; Young</w:t>
            </w:r>
          </w:p>
        </w:tc>
        <w:tc>
          <w:tcPr>
            <w:tcW w:w="2346" w:type="dxa"/>
          </w:tcPr>
          <w:p w:rsidR="00DF01C3" w:rsidRPr="00641638" w:rsidRDefault="00DF01C3" w:rsidP="00C95C0B">
            <w:pPr>
              <w:rPr>
                <w:rFonts w:cs="Arial"/>
                <w:sz w:val="20"/>
              </w:rPr>
            </w:pPr>
            <w:r>
              <w:rPr>
                <w:rFonts w:cs="Arial"/>
                <w:sz w:val="20"/>
              </w:rPr>
              <w:t xml:space="preserve">The 2016 assessment of the </w:t>
            </w:r>
            <w:r w:rsidRPr="005C7F8E">
              <w:rPr>
                <w:rFonts w:cs="Arial"/>
                <w:i/>
                <w:sz w:val="20"/>
              </w:rPr>
              <w:t>Working with Children Check Act 2005</w:t>
            </w:r>
            <w:r>
              <w:rPr>
                <w:rFonts w:cs="Arial"/>
                <w:sz w:val="20"/>
              </w:rPr>
              <w:t xml:space="preserve"> for 2015 and 2016.</w:t>
            </w:r>
          </w:p>
        </w:tc>
        <w:tc>
          <w:tcPr>
            <w:tcW w:w="1701" w:type="dxa"/>
          </w:tcPr>
          <w:p w:rsidR="00DF01C3" w:rsidRPr="00641638" w:rsidRDefault="00DF01C3" w:rsidP="00C95C0B">
            <w:pPr>
              <w:jc w:val="right"/>
              <w:rPr>
                <w:rFonts w:cs="Arial"/>
                <w:sz w:val="20"/>
              </w:rPr>
            </w:pPr>
            <w:r>
              <w:rPr>
                <w:rFonts w:cs="Arial"/>
                <w:sz w:val="20"/>
              </w:rPr>
              <w:t>$28,500</w:t>
            </w:r>
          </w:p>
        </w:tc>
        <w:tc>
          <w:tcPr>
            <w:tcW w:w="1559" w:type="dxa"/>
          </w:tcPr>
          <w:p w:rsidR="00DF01C3" w:rsidRPr="00641638" w:rsidRDefault="00DF01C3" w:rsidP="00C95C0B">
            <w:pPr>
              <w:jc w:val="right"/>
              <w:rPr>
                <w:rFonts w:cs="Arial"/>
                <w:sz w:val="20"/>
              </w:rPr>
            </w:pPr>
            <w:r>
              <w:rPr>
                <w:rFonts w:cs="Arial"/>
                <w:sz w:val="20"/>
              </w:rPr>
              <w:t>$28,500</w:t>
            </w:r>
          </w:p>
        </w:tc>
        <w:tc>
          <w:tcPr>
            <w:tcW w:w="2127" w:type="dxa"/>
          </w:tcPr>
          <w:p w:rsidR="00DF01C3" w:rsidRPr="00641638" w:rsidRDefault="00DF01C3" w:rsidP="00C95C0B">
            <w:pPr>
              <w:jc w:val="right"/>
              <w:rPr>
                <w:rFonts w:cs="Arial"/>
                <w:sz w:val="20"/>
              </w:rPr>
            </w:pPr>
            <w:r>
              <w:rPr>
                <w:rFonts w:cs="Arial"/>
                <w:sz w:val="20"/>
              </w:rPr>
              <w:t>-</w:t>
            </w:r>
          </w:p>
        </w:tc>
      </w:tr>
      <w:tr w:rsidR="00DF01C3" w:rsidRPr="00892DE3" w:rsidTr="00DF01C3">
        <w:trPr>
          <w:trHeight w:val="74"/>
        </w:trPr>
        <w:tc>
          <w:tcPr>
            <w:tcW w:w="1213" w:type="dxa"/>
          </w:tcPr>
          <w:p w:rsidR="00DF01C3" w:rsidRPr="005C7F8E" w:rsidRDefault="00DF01C3" w:rsidP="00C95C0B">
            <w:pPr>
              <w:rPr>
                <w:rFonts w:cs="Arial"/>
                <w:sz w:val="20"/>
              </w:rPr>
            </w:pPr>
            <w:r w:rsidRPr="005C7F8E">
              <w:rPr>
                <w:rFonts w:cs="Arial"/>
                <w:sz w:val="20"/>
              </w:rPr>
              <w:t>PWC</w:t>
            </w:r>
          </w:p>
        </w:tc>
        <w:tc>
          <w:tcPr>
            <w:tcW w:w="2346" w:type="dxa"/>
          </w:tcPr>
          <w:p w:rsidR="00DF01C3" w:rsidRPr="005C7F8E" w:rsidRDefault="00DF01C3" w:rsidP="00C95C0B">
            <w:pPr>
              <w:rPr>
                <w:rFonts w:cs="Arial"/>
                <w:sz w:val="20"/>
              </w:rPr>
            </w:pPr>
            <w:r w:rsidRPr="005C7F8E">
              <w:rPr>
                <w:rFonts w:cs="Arial"/>
                <w:sz w:val="20"/>
              </w:rPr>
              <w:t>Inquiry into Aboriginal Child Placement Principle</w:t>
            </w:r>
          </w:p>
        </w:tc>
        <w:tc>
          <w:tcPr>
            <w:tcW w:w="1701" w:type="dxa"/>
          </w:tcPr>
          <w:p w:rsidR="00DF01C3" w:rsidRPr="005C7F8E" w:rsidRDefault="00DF01C3" w:rsidP="00C95C0B">
            <w:pPr>
              <w:jc w:val="right"/>
              <w:rPr>
                <w:rFonts w:cs="Arial"/>
                <w:sz w:val="20"/>
              </w:rPr>
            </w:pPr>
            <w:r w:rsidRPr="005C7F8E">
              <w:rPr>
                <w:rFonts w:cs="Arial"/>
                <w:sz w:val="20"/>
              </w:rPr>
              <w:t xml:space="preserve">                  </w:t>
            </w:r>
            <w:r>
              <w:rPr>
                <w:rFonts w:cs="Arial"/>
                <w:sz w:val="20"/>
              </w:rPr>
              <w:t>$</w:t>
            </w:r>
            <w:r w:rsidRPr="005C7F8E">
              <w:rPr>
                <w:rFonts w:cs="Arial"/>
                <w:sz w:val="20"/>
              </w:rPr>
              <w:t xml:space="preserve">27,273 </w:t>
            </w:r>
          </w:p>
        </w:tc>
        <w:tc>
          <w:tcPr>
            <w:tcW w:w="1559" w:type="dxa"/>
          </w:tcPr>
          <w:p w:rsidR="00DF01C3" w:rsidRPr="005C7F8E" w:rsidRDefault="00DF01C3" w:rsidP="00C95C0B">
            <w:pPr>
              <w:jc w:val="right"/>
              <w:rPr>
                <w:rFonts w:cs="Arial"/>
                <w:sz w:val="20"/>
              </w:rPr>
            </w:pPr>
            <w:r w:rsidRPr="005C7F8E">
              <w:rPr>
                <w:rFonts w:cs="Arial"/>
                <w:sz w:val="20"/>
              </w:rPr>
              <w:t xml:space="preserve">                                                  </w:t>
            </w:r>
            <w:r>
              <w:rPr>
                <w:rFonts w:cs="Arial"/>
                <w:sz w:val="20"/>
              </w:rPr>
              <w:t>$</w:t>
            </w:r>
            <w:r w:rsidRPr="005C7F8E">
              <w:rPr>
                <w:rFonts w:cs="Arial"/>
                <w:sz w:val="20"/>
              </w:rPr>
              <w:t xml:space="preserve">27,273 </w:t>
            </w:r>
          </w:p>
        </w:tc>
        <w:tc>
          <w:tcPr>
            <w:tcW w:w="2127" w:type="dxa"/>
          </w:tcPr>
          <w:p w:rsidR="00DF01C3" w:rsidRPr="005C7F8E" w:rsidRDefault="00DF01C3" w:rsidP="00C95C0B">
            <w:pPr>
              <w:jc w:val="right"/>
              <w:rPr>
                <w:rFonts w:cs="Arial"/>
                <w:sz w:val="20"/>
              </w:rPr>
            </w:pPr>
            <w:r w:rsidRPr="005C7F8E">
              <w:rPr>
                <w:rFonts w:cs="Arial"/>
                <w:sz w:val="20"/>
              </w:rPr>
              <w:t> -</w:t>
            </w:r>
          </w:p>
        </w:tc>
      </w:tr>
      <w:tr w:rsidR="00DF01C3" w:rsidRPr="00892DE3" w:rsidTr="00DF01C3">
        <w:trPr>
          <w:cnfStyle w:val="010000000000" w:firstRow="0" w:lastRow="1" w:firstColumn="0" w:lastColumn="0" w:oddVBand="0" w:evenVBand="0" w:oddHBand="0" w:evenHBand="0" w:firstRowFirstColumn="0" w:firstRowLastColumn="0" w:lastRowFirstColumn="0" w:lastRowLastColumn="0"/>
          <w:trHeight w:val="279"/>
        </w:trPr>
        <w:tc>
          <w:tcPr>
            <w:tcW w:w="1213" w:type="dxa"/>
          </w:tcPr>
          <w:p w:rsidR="00DF01C3" w:rsidRPr="00892DE3" w:rsidRDefault="00DF01C3" w:rsidP="00C95C0B">
            <w:r>
              <w:t>Total</w:t>
            </w:r>
          </w:p>
        </w:tc>
        <w:tc>
          <w:tcPr>
            <w:tcW w:w="2346" w:type="dxa"/>
          </w:tcPr>
          <w:p w:rsidR="00DF01C3" w:rsidRPr="00892DE3" w:rsidRDefault="00DF01C3" w:rsidP="00C95C0B"/>
        </w:tc>
        <w:tc>
          <w:tcPr>
            <w:tcW w:w="1701" w:type="dxa"/>
          </w:tcPr>
          <w:p w:rsidR="00DF01C3" w:rsidRPr="00892DE3" w:rsidRDefault="00DF01C3" w:rsidP="00C95C0B">
            <w:pPr>
              <w:jc w:val="right"/>
            </w:pPr>
            <w:r>
              <w:t>$125,523</w:t>
            </w:r>
          </w:p>
        </w:tc>
        <w:tc>
          <w:tcPr>
            <w:tcW w:w="1559" w:type="dxa"/>
          </w:tcPr>
          <w:p w:rsidR="00DF01C3" w:rsidRPr="00892DE3" w:rsidRDefault="00DF01C3" w:rsidP="00C95C0B">
            <w:pPr>
              <w:jc w:val="right"/>
            </w:pPr>
            <w:r>
              <w:t>$125,523</w:t>
            </w:r>
          </w:p>
        </w:tc>
        <w:tc>
          <w:tcPr>
            <w:tcW w:w="2127" w:type="dxa"/>
          </w:tcPr>
          <w:p w:rsidR="00DF01C3" w:rsidRPr="00892DE3" w:rsidRDefault="00DF01C3" w:rsidP="00C95C0B">
            <w:pPr>
              <w:jc w:val="right"/>
            </w:pPr>
            <w:r>
              <w:t>-</w:t>
            </w:r>
          </w:p>
        </w:tc>
      </w:tr>
    </w:tbl>
    <w:p w:rsidR="007A01BD" w:rsidRPr="003F6306" w:rsidRDefault="00F82531" w:rsidP="00FB2DB6">
      <w:pPr>
        <w:pStyle w:val="Heading3"/>
      </w:pPr>
      <w:r w:rsidRPr="003F6306">
        <w:t>Consultancies less than $10,000</w:t>
      </w:r>
    </w:p>
    <w:p w:rsidR="007A01BD" w:rsidRPr="003F6306" w:rsidRDefault="00F82531" w:rsidP="00FB2DB6">
      <w:r w:rsidRPr="003F6306">
        <w:t>In 2016–17 we engaged one consultancy in this category, for a value of $6829.</w:t>
      </w:r>
    </w:p>
    <w:p w:rsidR="007A01BD" w:rsidRPr="003F6306" w:rsidRDefault="00F82531" w:rsidP="00FB2DB6">
      <w:pPr>
        <w:pStyle w:val="Heading3"/>
      </w:pPr>
      <w:r w:rsidRPr="003F6306">
        <w:t>Information and communication technology expenditure</w:t>
      </w:r>
    </w:p>
    <w:p w:rsidR="007A01BD" w:rsidRPr="003F6306" w:rsidRDefault="00F82531" w:rsidP="00F82531">
      <w:r w:rsidRPr="003F6306">
        <w:t xml:space="preserve">For the </w:t>
      </w:r>
      <w:r w:rsidRPr="003F6306">
        <w:rPr>
          <w:spacing w:val="-5"/>
        </w:rPr>
        <w:t xml:space="preserve">2016–17 </w:t>
      </w:r>
      <w:r w:rsidRPr="003F6306">
        <w:t>reporting period we had a total ICT expenditure of</w:t>
      </w:r>
      <w:r w:rsidRPr="003F6306">
        <w:rPr>
          <w:spacing w:val="5"/>
        </w:rPr>
        <w:t xml:space="preserve"> </w:t>
      </w:r>
      <w:r w:rsidRPr="003F6306">
        <w:rPr>
          <w:spacing w:val="-4"/>
        </w:rPr>
        <w:t>$413,783,</w:t>
      </w:r>
      <w:r w:rsidR="00FB2DB6">
        <w:rPr>
          <w:spacing w:val="-4"/>
        </w:rPr>
        <w:t xml:space="preserve"> </w:t>
      </w:r>
      <w:r w:rsidRPr="003F6306">
        <w:t>the details of which are shown in Table 20.</w:t>
      </w:r>
    </w:p>
    <w:p w:rsidR="007A01BD" w:rsidRDefault="00F82531" w:rsidP="00FB2DB6">
      <w:r w:rsidRPr="003F6306">
        <w:t>Our non-business as usual expenditure was focused on developing a new case management system to capture and report on Child Safe Standards and Reportable Conduct Scheme cases, as well as other Commission functions. We also rebuilt our website.</w:t>
      </w:r>
    </w:p>
    <w:p w:rsidR="00DF01C3" w:rsidRDefault="00DF01C3" w:rsidP="00FB2DB6"/>
    <w:p w:rsidR="00DF01C3" w:rsidRDefault="00DF01C3" w:rsidP="00DF01C3">
      <w:pPr>
        <w:pStyle w:val="Caption"/>
      </w:pPr>
      <w:bookmarkStart w:id="121" w:name="_Toc496019898"/>
      <w:r>
        <w:t xml:space="preserve">Table </w:t>
      </w:r>
      <w:r>
        <w:fldChar w:fldCharType="begin"/>
      </w:r>
      <w:r>
        <w:instrText xml:space="preserve"> SEQ Table \* ARABIC </w:instrText>
      </w:r>
      <w:r>
        <w:fldChar w:fldCharType="separate"/>
      </w:r>
      <w:r>
        <w:rPr>
          <w:noProof/>
        </w:rPr>
        <w:t>20</w:t>
      </w:r>
      <w:r>
        <w:fldChar w:fldCharType="end"/>
      </w:r>
      <w:r>
        <w:t xml:space="preserve"> Commission ICT expenditure</w:t>
      </w:r>
      <w:bookmarkEnd w:id="121"/>
    </w:p>
    <w:tbl>
      <w:tblPr>
        <w:tblStyle w:val="LightList-Accent1"/>
        <w:tblW w:w="8129" w:type="dxa"/>
        <w:tblLayout w:type="fixed"/>
        <w:tblLook w:val="06E0" w:firstRow="1" w:lastRow="1" w:firstColumn="1" w:lastColumn="0" w:noHBand="1" w:noVBand="1"/>
      </w:tblPr>
      <w:tblGrid>
        <w:gridCol w:w="2028"/>
        <w:gridCol w:w="2691"/>
        <w:gridCol w:w="1610"/>
        <w:gridCol w:w="1800"/>
      </w:tblGrid>
      <w:tr w:rsidR="00DF01C3" w:rsidRPr="00DF01C3" w:rsidTr="00DF0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rsidR="00DF01C3" w:rsidRPr="00DF01C3" w:rsidRDefault="00DF01C3" w:rsidP="00DF01C3">
            <w:r w:rsidRPr="00DF01C3">
              <w:t xml:space="preserve">Business as usual  </w:t>
            </w:r>
          </w:p>
        </w:tc>
        <w:tc>
          <w:tcPr>
            <w:tcW w:w="2691" w:type="dxa"/>
          </w:tcPr>
          <w:p w:rsidR="00DF01C3" w:rsidRPr="00DF01C3" w:rsidRDefault="00DF01C3" w:rsidP="00DF01C3">
            <w:pPr>
              <w:cnfStyle w:val="100000000000" w:firstRow="1" w:lastRow="0" w:firstColumn="0" w:lastColumn="0" w:oddVBand="0" w:evenVBand="0" w:oddHBand="0" w:evenHBand="0" w:firstRowFirstColumn="0" w:firstRowLastColumn="0" w:lastRowFirstColumn="0" w:lastRowLastColumn="0"/>
            </w:pPr>
            <w:r w:rsidRPr="00DF01C3">
              <w:t>Non</w:t>
            </w:r>
            <w:r w:rsidRPr="00DF01C3">
              <w:noBreakHyphen/>
              <w:t xml:space="preserve">business as usual </w:t>
            </w:r>
          </w:p>
        </w:tc>
        <w:tc>
          <w:tcPr>
            <w:tcW w:w="1610" w:type="dxa"/>
          </w:tcPr>
          <w:p w:rsidR="00DF01C3" w:rsidRPr="00DF01C3" w:rsidRDefault="00DF01C3" w:rsidP="00DF01C3">
            <w:pPr>
              <w:cnfStyle w:val="100000000000" w:firstRow="1" w:lastRow="0" w:firstColumn="0" w:lastColumn="0" w:oddVBand="0" w:evenVBand="0" w:oddHBand="0" w:evenHBand="0" w:firstRowFirstColumn="0" w:firstRowLastColumn="0" w:lastRowFirstColumn="0" w:lastRowLastColumn="0"/>
            </w:pPr>
            <w:r w:rsidRPr="00DF01C3">
              <w:t>Operational expenditure</w:t>
            </w:r>
          </w:p>
        </w:tc>
        <w:tc>
          <w:tcPr>
            <w:tcW w:w="1800" w:type="dxa"/>
          </w:tcPr>
          <w:p w:rsidR="00DF01C3" w:rsidRPr="00DF01C3" w:rsidRDefault="00DF01C3" w:rsidP="00DF01C3">
            <w:pPr>
              <w:cnfStyle w:val="100000000000" w:firstRow="1" w:lastRow="0" w:firstColumn="0" w:lastColumn="0" w:oddVBand="0" w:evenVBand="0" w:oddHBand="0" w:evenHBand="0" w:firstRowFirstColumn="0" w:firstRowLastColumn="0" w:lastRowFirstColumn="0" w:lastRowLastColumn="0"/>
            </w:pPr>
            <w:r w:rsidRPr="00DF01C3">
              <w:t xml:space="preserve">Capital </w:t>
            </w:r>
            <w:r w:rsidRPr="00DF01C3">
              <w:br/>
              <w:t>expenditure</w:t>
            </w:r>
          </w:p>
        </w:tc>
      </w:tr>
      <w:tr w:rsidR="00DF01C3" w:rsidRPr="00DF01C3" w:rsidTr="00DF01C3">
        <w:tc>
          <w:tcPr>
            <w:cnfStyle w:val="001000000000" w:firstRow="0" w:lastRow="0" w:firstColumn="1" w:lastColumn="0" w:oddVBand="0" w:evenVBand="0" w:oddHBand="0" w:evenHBand="0" w:firstRowFirstColumn="0" w:firstRowLastColumn="0" w:lastRowFirstColumn="0" w:lastRowLastColumn="0"/>
            <w:tcW w:w="2028" w:type="dxa"/>
          </w:tcPr>
          <w:p w:rsidR="00DF01C3" w:rsidRPr="00DF01C3" w:rsidRDefault="00DF01C3" w:rsidP="00DF01C3">
            <w:r w:rsidRPr="00DF01C3">
              <w:t>(Total)</w:t>
            </w:r>
          </w:p>
        </w:tc>
        <w:tc>
          <w:tcPr>
            <w:tcW w:w="2691" w:type="dxa"/>
          </w:tcPr>
          <w:p w:rsidR="00DF01C3" w:rsidRPr="00DF01C3" w:rsidRDefault="00DF01C3" w:rsidP="00DF01C3">
            <w:pPr>
              <w:cnfStyle w:val="000000000000" w:firstRow="0" w:lastRow="0" w:firstColumn="0" w:lastColumn="0" w:oddVBand="0" w:evenVBand="0" w:oddHBand="0" w:evenHBand="0" w:firstRowFirstColumn="0" w:firstRowLastColumn="0" w:lastRowFirstColumn="0" w:lastRowLastColumn="0"/>
            </w:pPr>
            <w:r w:rsidRPr="00DF01C3">
              <w:t>(Total = Operational expenditure and capital expenditure)</w:t>
            </w:r>
          </w:p>
        </w:tc>
        <w:tc>
          <w:tcPr>
            <w:tcW w:w="1610" w:type="dxa"/>
          </w:tcPr>
          <w:p w:rsidR="00DF01C3" w:rsidRPr="00DF01C3" w:rsidRDefault="00DF01C3" w:rsidP="00DF01C3">
            <w:pPr>
              <w:cnfStyle w:val="000000000000" w:firstRow="0" w:lastRow="0" w:firstColumn="0" w:lastColumn="0" w:oddVBand="0" w:evenVBand="0" w:oddHBand="0" w:evenHBand="0" w:firstRowFirstColumn="0" w:firstRowLastColumn="0" w:lastRowFirstColumn="0" w:lastRowLastColumn="0"/>
            </w:pPr>
          </w:p>
        </w:tc>
        <w:tc>
          <w:tcPr>
            <w:tcW w:w="1800" w:type="dxa"/>
          </w:tcPr>
          <w:p w:rsidR="00DF01C3" w:rsidRPr="00DF01C3" w:rsidRDefault="00DF01C3" w:rsidP="00DF01C3">
            <w:pPr>
              <w:cnfStyle w:val="000000000000" w:firstRow="0" w:lastRow="0" w:firstColumn="0" w:lastColumn="0" w:oddVBand="0" w:evenVBand="0" w:oddHBand="0" w:evenHBand="0" w:firstRowFirstColumn="0" w:firstRowLastColumn="0" w:lastRowFirstColumn="0" w:lastRowLastColumn="0"/>
            </w:pPr>
          </w:p>
        </w:tc>
      </w:tr>
      <w:tr w:rsidR="00DF01C3" w:rsidRPr="00DF01C3" w:rsidTr="00DF01C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rsidR="00DF01C3" w:rsidRPr="00DF01C3" w:rsidRDefault="00DF01C3" w:rsidP="00DF01C3">
            <w:r w:rsidRPr="00DF01C3">
              <w:t xml:space="preserve">$      3,292.00 </w:t>
            </w:r>
          </w:p>
        </w:tc>
        <w:tc>
          <w:tcPr>
            <w:tcW w:w="2691" w:type="dxa"/>
          </w:tcPr>
          <w:p w:rsidR="00DF01C3" w:rsidRPr="00DF01C3" w:rsidRDefault="00DF01C3" w:rsidP="00DF01C3">
            <w:pPr>
              <w:cnfStyle w:val="010000000000" w:firstRow="0" w:lastRow="1" w:firstColumn="0" w:lastColumn="0" w:oddVBand="0" w:evenVBand="0" w:oddHBand="0" w:evenHBand="0" w:firstRowFirstColumn="0" w:firstRowLastColumn="0" w:lastRowFirstColumn="0" w:lastRowLastColumn="0"/>
            </w:pPr>
            <w:r w:rsidRPr="00DF01C3">
              <w:t xml:space="preserve">$  410,491.00 </w:t>
            </w:r>
          </w:p>
        </w:tc>
        <w:tc>
          <w:tcPr>
            <w:tcW w:w="1610" w:type="dxa"/>
          </w:tcPr>
          <w:p w:rsidR="00DF01C3" w:rsidRPr="00DF01C3" w:rsidRDefault="00DF01C3" w:rsidP="00DF01C3">
            <w:pPr>
              <w:cnfStyle w:val="010000000000" w:firstRow="0" w:lastRow="1" w:firstColumn="0" w:lastColumn="0" w:oddVBand="0" w:evenVBand="0" w:oddHBand="0" w:evenHBand="0" w:firstRowFirstColumn="0" w:firstRowLastColumn="0" w:lastRowFirstColumn="0" w:lastRowLastColumn="0"/>
            </w:pPr>
          </w:p>
        </w:tc>
        <w:tc>
          <w:tcPr>
            <w:tcW w:w="1800" w:type="dxa"/>
          </w:tcPr>
          <w:p w:rsidR="00DF01C3" w:rsidRPr="00DF01C3" w:rsidRDefault="00DF01C3" w:rsidP="00DF01C3">
            <w:pPr>
              <w:cnfStyle w:val="010000000000" w:firstRow="0" w:lastRow="1" w:firstColumn="0" w:lastColumn="0" w:oddVBand="0" w:evenVBand="0" w:oddHBand="0" w:evenHBand="0" w:firstRowFirstColumn="0" w:firstRowLastColumn="0" w:lastRowFirstColumn="0" w:lastRowLastColumn="0"/>
            </w:pPr>
            <w:r w:rsidRPr="00DF01C3">
              <w:t xml:space="preserve">$  410,491.00 </w:t>
            </w:r>
          </w:p>
        </w:tc>
      </w:tr>
    </w:tbl>
    <w:p w:rsidR="007A01BD" w:rsidRPr="003F6306" w:rsidRDefault="00F82531" w:rsidP="00FB2DB6">
      <w:pPr>
        <w:pStyle w:val="Heading2"/>
      </w:pPr>
      <w:bookmarkStart w:id="122" w:name="_Toc496019872"/>
      <w:r w:rsidRPr="003F6306">
        <w:t>Disclosure of major contracts</w:t>
      </w:r>
      <w:bookmarkEnd w:id="122"/>
    </w:p>
    <w:p w:rsidR="007A01BD" w:rsidRPr="003F6306" w:rsidRDefault="00F82531" w:rsidP="00FB2DB6">
      <w:r w:rsidRPr="003F6306">
        <w:t>The Commission did not enter in any contracts greater than $10 million in value.</w:t>
      </w:r>
    </w:p>
    <w:p w:rsidR="007A01BD" w:rsidRPr="003F6306" w:rsidRDefault="00F82531" w:rsidP="00FB2DB6">
      <w:pPr>
        <w:pStyle w:val="Heading2"/>
      </w:pPr>
      <w:bookmarkStart w:id="123" w:name="_Toc496019873"/>
      <w:r w:rsidRPr="003F6306">
        <w:lastRenderedPageBreak/>
        <w:t>Freedom of information</w:t>
      </w:r>
      <w:bookmarkEnd w:id="123"/>
    </w:p>
    <w:p w:rsidR="007A01BD" w:rsidRPr="003F6306" w:rsidRDefault="00F82531" w:rsidP="00FB2DB6">
      <w:r w:rsidRPr="003F6306">
        <w:t>The Freedom of Information Act 1982 (theFOI Act) enables the public to apply to access documents held by public sector agencies including the Commission.</w:t>
      </w:r>
    </w:p>
    <w:p w:rsidR="007A01BD" w:rsidRPr="003F6306" w:rsidRDefault="00F82531" w:rsidP="00FB2DB6">
      <w:pPr>
        <w:rPr>
          <w:sz w:val="23"/>
        </w:rPr>
      </w:pPr>
      <w:r w:rsidRPr="003F6306">
        <w:t>Pursuant to s. 7 of the FOI Act, the Commission is required to publish the following information in its annual report.</w:t>
      </w:r>
    </w:p>
    <w:p w:rsidR="007A01BD" w:rsidRPr="003F6306" w:rsidRDefault="00F82531" w:rsidP="00FB2DB6">
      <w:pPr>
        <w:pStyle w:val="Heading4"/>
      </w:pPr>
      <w:r w:rsidRPr="003F6306">
        <w:t>About the Commission</w:t>
      </w:r>
    </w:p>
    <w:p w:rsidR="007A01BD" w:rsidRPr="003F6306" w:rsidRDefault="00F82531" w:rsidP="00FB2DB6">
      <w:pPr>
        <w:rPr>
          <w:sz w:val="26"/>
        </w:rPr>
      </w:pPr>
      <w:r w:rsidRPr="003F6306">
        <w:t>The details required to be published in relation to the Commission, the information and documents in its possession, and the material that is available for publication is contained elsewhere in this report.</w:t>
      </w:r>
    </w:p>
    <w:p w:rsidR="007A01BD" w:rsidRPr="003F6306" w:rsidRDefault="00F82531" w:rsidP="00FB2DB6">
      <w:r w:rsidRPr="003F6306">
        <w:rPr>
          <w:rFonts w:ascii="HelveticaNeue-Medium"/>
        </w:rPr>
        <w:t xml:space="preserve">Applications made under the FOI Act </w:t>
      </w:r>
      <w:r w:rsidRPr="003F6306">
        <w:t xml:space="preserve">For the period 1 July </w:t>
      </w:r>
      <w:r w:rsidRPr="003F6306">
        <w:rPr>
          <w:spacing w:val="-5"/>
        </w:rPr>
        <w:t xml:space="preserve">2016 </w:t>
      </w:r>
      <w:r w:rsidRPr="003F6306">
        <w:t xml:space="preserve">to 30 June </w:t>
      </w:r>
      <w:r w:rsidRPr="003F6306">
        <w:rPr>
          <w:spacing w:val="-6"/>
        </w:rPr>
        <w:t xml:space="preserve">2017 </w:t>
      </w:r>
      <w:r w:rsidRPr="003F6306">
        <w:t>we received one application under the</w:t>
      </w:r>
      <w:r w:rsidR="00FB2DB6">
        <w:t xml:space="preserve"> </w:t>
      </w:r>
      <w:r w:rsidRPr="003F6306">
        <w:t>FOI Act. This application was a request for</w:t>
      </w:r>
      <w:r w:rsidR="00FB2DB6">
        <w:t xml:space="preserve"> </w:t>
      </w:r>
      <w:r w:rsidRPr="003F6306">
        <w:t>personal information, and partial access to the documents was granted.</w:t>
      </w:r>
    </w:p>
    <w:p w:rsidR="00FB2DB6" w:rsidRDefault="00F82531" w:rsidP="00FB2DB6">
      <w:r w:rsidRPr="003F6306">
        <w:t xml:space="preserve">In the period 1 July </w:t>
      </w:r>
      <w:r w:rsidRPr="003F6306">
        <w:rPr>
          <w:spacing w:val="-5"/>
        </w:rPr>
        <w:t xml:space="preserve">2016 </w:t>
      </w:r>
      <w:r w:rsidRPr="003F6306">
        <w:t xml:space="preserve">to 30 June </w:t>
      </w:r>
      <w:r w:rsidRPr="003F6306">
        <w:rPr>
          <w:spacing w:val="-6"/>
        </w:rPr>
        <w:t xml:space="preserve">2017 </w:t>
      </w:r>
      <w:r w:rsidRPr="003F6306">
        <w:t>there were no decisions reviewed by the Freedom of Information Commissioner and no appeals were made to the Victorian Civil and Administrative</w:t>
      </w:r>
      <w:r w:rsidRPr="003F6306">
        <w:rPr>
          <w:spacing w:val="-12"/>
        </w:rPr>
        <w:t xml:space="preserve"> </w:t>
      </w:r>
      <w:r w:rsidRPr="003F6306">
        <w:t>Tribunal.</w:t>
      </w:r>
    </w:p>
    <w:p w:rsidR="00FB2DB6" w:rsidRDefault="00F82531" w:rsidP="00FB2DB6">
      <w:pPr>
        <w:pStyle w:val="Heading4"/>
      </w:pPr>
      <w:r w:rsidRPr="003F6306">
        <w:t xml:space="preserve">Making a freedom of information request </w:t>
      </w:r>
    </w:p>
    <w:p w:rsidR="007A01BD" w:rsidRPr="003F6306" w:rsidRDefault="00F82531" w:rsidP="00FB2DB6">
      <w:r w:rsidRPr="003F6306">
        <w:t>An application to the Commission under the FOI Act should be made in writing and should</w:t>
      </w:r>
      <w:r w:rsidR="00FB2DB6">
        <w:t xml:space="preserve"> </w:t>
      </w:r>
      <w:r w:rsidRPr="003F6306">
        <w:t>include the following information</w:t>
      </w:r>
      <w:r w:rsidR="00FB2DB6">
        <w:t xml:space="preserve"> </w:t>
      </w:r>
      <w:r w:rsidRPr="003F6306">
        <w:t>and documentation:</w:t>
      </w:r>
    </w:p>
    <w:p w:rsidR="007A01BD" w:rsidRPr="003F6306" w:rsidRDefault="00F82531" w:rsidP="00FB2DB6">
      <w:pPr>
        <w:pStyle w:val="Bullets"/>
      </w:pPr>
      <w:r w:rsidRPr="003F6306">
        <w:t>the personal details of the</w:t>
      </w:r>
      <w:r w:rsidRPr="003F6306">
        <w:rPr>
          <w:spacing w:val="21"/>
        </w:rPr>
        <w:t xml:space="preserve"> </w:t>
      </w:r>
      <w:r w:rsidRPr="003F6306">
        <w:t>applicant</w:t>
      </w:r>
    </w:p>
    <w:p w:rsidR="007A01BD" w:rsidRPr="003F6306" w:rsidRDefault="00F82531" w:rsidP="00FB2DB6">
      <w:pPr>
        <w:pStyle w:val="Bullets"/>
      </w:pPr>
      <w:r w:rsidRPr="003F6306">
        <w:t>a description of documents or information</w:t>
      </w:r>
      <w:r w:rsidRPr="003F6306">
        <w:rPr>
          <w:spacing w:val="7"/>
        </w:rPr>
        <w:t xml:space="preserve"> </w:t>
      </w:r>
      <w:r w:rsidRPr="003F6306">
        <w:t>sought</w:t>
      </w:r>
    </w:p>
    <w:p w:rsidR="007A01BD" w:rsidRPr="003F6306" w:rsidRDefault="00F82531" w:rsidP="00FB2DB6">
      <w:pPr>
        <w:pStyle w:val="Bullets"/>
      </w:pPr>
      <w:r w:rsidRPr="003F6306">
        <w:t>the application fee or a written request that the application fee be</w:t>
      </w:r>
      <w:r w:rsidRPr="003F6306">
        <w:rPr>
          <w:spacing w:val="5"/>
        </w:rPr>
        <w:t xml:space="preserve"> </w:t>
      </w:r>
      <w:r w:rsidRPr="003F6306">
        <w:t>waived.</w:t>
      </w:r>
    </w:p>
    <w:p w:rsidR="007A01BD" w:rsidRPr="003F6306" w:rsidRDefault="00F82531" w:rsidP="00FB2DB6">
      <w:r w:rsidRPr="003F6306">
        <w:t>Applications for documents in the possession of the Commission should be addressed to:</w:t>
      </w:r>
    </w:p>
    <w:p w:rsidR="007A01BD" w:rsidRPr="003F6306" w:rsidRDefault="00F82531" w:rsidP="00FB2DB6">
      <w:pPr>
        <w:pStyle w:val="TextIndent1"/>
      </w:pPr>
      <w:r w:rsidRPr="003F6306">
        <w:t>Chief Executive Officer</w:t>
      </w:r>
    </w:p>
    <w:p w:rsidR="007A01BD" w:rsidRPr="003F6306" w:rsidRDefault="00F82531" w:rsidP="00FB2DB6">
      <w:pPr>
        <w:pStyle w:val="TextIndent1"/>
      </w:pPr>
      <w:r w:rsidRPr="003F6306">
        <w:t>Commission for Children and Young People Level 18, 570 Bourke Street</w:t>
      </w:r>
    </w:p>
    <w:p w:rsidR="007A01BD" w:rsidRPr="003F6306" w:rsidRDefault="00F82531" w:rsidP="00FB2DB6">
      <w:pPr>
        <w:pStyle w:val="TextIndent1"/>
      </w:pPr>
      <w:r w:rsidRPr="003F6306">
        <w:t>Melbourne Victoria 3000</w:t>
      </w:r>
    </w:p>
    <w:p w:rsidR="007A01BD" w:rsidRPr="003F6306" w:rsidRDefault="00F82531" w:rsidP="00FB2DB6">
      <w:r w:rsidRPr="003F6306">
        <w:t>This year the application fee was $27.90</w:t>
      </w:r>
      <w:r w:rsidR="00FB2DB6">
        <w:t xml:space="preserve"> </w:t>
      </w:r>
      <w:r w:rsidRPr="003F6306">
        <w:t>and can be waived in certain circumstances, such as financial hardship. Applications</w:t>
      </w:r>
      <w:r w:rsidR="00FB2DB6">
        <w:t xml:space="preserve"> </w:t>
      </w:r>
      <w:r w:rsidRPr="003F6306">
        <w:t xml:space="preserve">may also be subject to charges to access documents. These costs are set by the Freedom of Information (Access Charges) Regulations </w:t>
      </w:r>
      <w:r w:rsidRPr="003F6306">
        <w:rPr>
          <w:spacing w:val="-6"/>
        </w:rPr>
        <w:t xml:space="preserve">2014 </w:t>
      </w:r>
      <w:r w:rsidRPr="003F6306">
        <w:t>and will vary depending on the nature of the</w:t>
      </w:r>
      <w:r w:rsidRPr="003F6306">
        <w:rPr>
          <w:spacing w:val="5"/>
        </w:rPr>
        <w:t xml:space="preserve"> </w:t>
      </w:r>
      <w:r w:rsidRPr="003F6306">
        <w:t>request.</w:t>
      </w:r>
    </w:p>
    <w:p w:rsidR="007A01BD" w:rsidRPr="003F6306" w:rsidRDefault="00F82531" w:rsidP="00FB2DB6">
      <w:r w:rsidRPr="003F6306">
        <w:t>Further information regarding freedom of information can be found at</w:t>
      </w:r>
      <w:hyperlink r:id="rId19">
        <w:r w:rsidRPr="003F6306">
          <w:t xml:space="preserve"> www.foi.vic.gov.au.</w:t>
        </w:r>
      </w:hyperlink>
    </w:p>
    <w:p w:rsidR="007A01BD" w:rsidRPr="003F6306" w:rsidRDefault="00F82531" w:rsidP="00FB2DB6">
      <w:pPr>
        <w:pStyle w:val="Heading2"/>
        <w:rPr>
          <w:sz w:val="27"/>
        </w:rPr>
      </w:pPr>
      <w:bookmarkStart w:id="124" w:name="_Toc496019874"/>
      <w:r w:rsidRPr="003F6306">
        <w:t xml:space="preserve">Compliance with the </w:t>
      </w:r>
      <w:r w:rsidRPr="003F6306">
        <w:rPr>
          <w:sz w:val="27"/>
        </w:rPr>
        <w:t>Building Act 1993</w:t>
      </w:r>
      <w:bookmarkEnd w:id="124"/>
    </w:p>
    <w:p w:rsidR="007A01BD" w:rsidRPr="003F6306" w:rsidRDefault="00F82531" w:rsidP="00FB2DB6">
      <w:r w:rsidRPr="003F6306">
        <w:t>The Commission does not own or control any government buildings and is exempt</w:t>
      </w:r>
      <w:r w:rsidR="00FB2DB6">
        <w:t xml:space="preserve"> </w:t>
      </w:r>
      <w:r w:rsidRPr="003F6306">
        <w:t xml:space="preserve">from notifying its compliance with the building and maintenance provisions of the </w:t>
      </w:r>
      <w:r w:rsidRPr="003F6306">
        <w:rPr>
          <w:i/>
        </w:rPr>
        <w:t>Building Act 1993</w:t>
      </w:r>
      <w:r w:rsidRPr="003F6306">
        <w:t>.</w:t>
      </w:r>
    </w:p>
    <w:p w:rsidR="007A01BD" w:rsidRPr="003F6306" w:rsidRDefault="00F82531" w:rsidP="00FB2DB6">
      <w:pPr>
        <w:pStyle w:val="Heading2"/>
      </w:pPr>
      <w:bookmarkStart w:id="125" w:name="_Toc496019875"/>
      <w:r w:rsidRPr="003F6306">
        <w:rPr>
          <w:sz w:val="26"/>
        </w:rPr>
        <w:t>Compliance with the</w:t>
      </w:r>
      <w:r w:rsidRPr="003F6306">
        <w:rPr>
          <w:spacing w:val="-52"/>
          <w:sz w:val="26"/>
        </w:rPr>
        <w:t xml:space="preserve"> </w:t>
      </w:r>
      <w:r w:rsidRPr="003F6306">
        <w:t>Protected Disclosure</w:t>
      </w:r>
      <w:r w:rsidRPr="003F6306">
        <w:rPr>
          <w:spacing w:val="-51"/>
        </w:rPr>
        <w:t xml:space="preserve"> </w:t>
      </w:r>
      <w:r w:rsidRPr="003F6306">
        <w:t>Act</w:t>
      </w:r>
      <w:r w:rsidRPr="003F6306">
        <w:rPr>
          <w:spacing w:val="-51"/>
        </w:rPr>
        <w:t xml:space="preserve"> </w:t>
      </w:r>
      <w:r w:rsidRPr="003F6306">
        <w:t>2012</w:t>
      </w:r>
      <w:bookmarkEnd w:id="125"/>
    </w:p>
    <w:p w:rsidR="007A01BD" w:rsidRPr="003F6306" w:rsidRDefault="00F82531" w:rsidP="00FB2DB6">
      <w:r w:rsidRPr="003F6306">
        <w:t xml:space="preserve">The </w:t>
      </w:r>
      <w:r w:rsidRPr="003F6306">
        <w:rPr>
          <w:i/>
        </w:rPr>
        <w:t xml:space="preserve">Protected Disclosure Act 2012 </w:t>
      </w:r>
      <w:r w:rsidRPr="003F6306">
        <w:t>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w:t>
      </w:r>
    </w:p>
    <w:p w:rsidR="007A01BD" w:rsidRPr="003F6306" w:rsidRDefault="00F82531" w:rsidP="00FB2DB6">
      <w:r w:rsidRPr="003F6306">
        <w:lastRenderedPageBreak/>
        <w:t>The Commission does not tolerate improper conduct by employees, nor the taking of reprisals against those who come forward  to disclose such conduct. It is committed</w:t>
      </w:r>
      <w:r w:rsidRPr="003F6306">
        <w:rPr>
          <w:spacing w:val="15"/>
        </w:rPr>
        <w:t xml:space="preserve"> </w:t>
      </w:r>
      <w:r w:rsidRPr="003F6306">
        <w:t>to</w:t>
      </w:r>
    </w:p>
    <w:p w:rsidR="007A01BD" w:rsidRPr="003F6306" w:rsidRDefault="00F82531" w:rsidP="00FB2DB6">
      <w:r w:rsidRPr="003F6306">
        <w:t>ensuring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 or the environment.</w:t>
      </w:r>
    </w:p>
    <w:p w:rsidR="00F82531" w:rsidRPr="003F6306" w:rsidRDefault="00F82531" w:rsidP="00F82531">
      <w:pPr>
        <w:rPr>
          <w:sz w:val="26"/>
        </w:rPr>
      </w:pPr>
      <w:r w:rsidRPr="003F6306">
        <w:t>The Commission will take all reasonable steps to protect people who make such disclosures from any detrimental action in reprisal for making the disclosure. It will also afford natural justice to the person who is the subject of the disclosure to the extent it is legally</w:t>
      </w:r>
      <w:r w:rsidRPr="003F6306">
        <w:rPr>
          <w:spacing w:val="15"/>
        </w:rPr>
        <w:t xml:space="preserve"> </w:t>
      </w:r>
      <w:r w:rsidRPr="003F6306">
        <w:t>possible.</w:t>
      </w:r>
    </w:p>
    <w:p w:rsidR="00F82531" w:rsidRPr="003F6306" w:rsidRDefault="00F82531" w:rsidP="00FB2DB6">
      <w:pPr>
        <w:pStyle w:val="Heading3"/>
      </w:pPr>
      <w:r w:rsidRPr="003F6306">
        <w:t>Reporting procedures</w:t>
      </w:r>
    </w:p>
    <w:p w:rsidR="00F82531" w:rsidRPr="003F6306" w:rsidRDefault="00F82531" w:rsidP="00FB2DB6">
      <w:r w:rsidRPr="003F6306">
        <w:t>Disclosures of improper conduct or detrimental action by the Commission or any of its employees may be made to the Independent Broad-based Anti-corruption Commission (IBAC):</w:t>
      </w:r>
    </w:p>
    <w:p w:rsidR="00F82531" w:rsidRPr="003F6306" w:rsidRDefault="00F82531" w:rsidP="00FB2DB6">
      <w:r w:rsidRPr="003F6306">
        <w:t>Level 1, North Tower 459 Collins Street</w:t>
      </w:r>
    </w:p>
    <w:p w:rsidR="00F82531" w:rsidRPr="003F6306" w:rsidRDefault="00F82531" w:rsidP="00FB2DB6">
      <w:r w:rsidRPr="003F6306">
        <w:t>Melbourne VIC 3000</w:t>
      </w:r>
    </w:p>
    <w:p w:rsidR="00F82531" w:rsidRPr="003F6306" w:rsidRDefault="00F82531" w:rsidP="00FB2DB6">
      <w:r w:rsidRPr="003F6306">
        <w:t>Phone: 1300 735 135</w:t>
      </w:r>
    </w:p>
    <w:p w:rsidR="00F82531" w:rsidRPr="003F6306" w:rsidRDefault="00F82531" w:rsidP="00FB2DB6">
      <w:r w:rsidRPr="003F6306">
        <w:t>Website</w:t>
      </w:r>
      <w:hyperlink r:id="rId20">
        <w:r w:rsidRPr="003F6306">
          <w:t>: www.ibac.vic.gov.au.</w:t>
        </w:r>
      </w:hyperlink>
    </w:p>
    <w:p w:rsidR="00F82531" w:rsidRPr="003F6306" w:rsidRDefault="00F82531" w:rsidP="00FB2DB6">
      <w:pPr>
        <w:pStyle w:val="Heading2"/>
      </w:pPr>
      <w:bookmarkStart w:id="126" w:name="_Toc496019876"/>
      <w:r w:rsidRPr="003F6306">
        <w:rPr>
          <w:sz w:val="26"/>
        </w:rPr>
        <w:t xml:space="preserve">Compliance with the </w:t>
      </w:r>
      <w:r w:rsidRPr="003F6306">
        <w:t>Carers Recognition</w:t>
      </w:r>
      <w:r w:rsidRPr="003F6306">
        <w:rPr>
          <w:spacing w:val="-51"/>
        </w:rPr>
        <w:t xml:space="preserve"> </w:t>
      </w:r>
      <w:r w:rsidRPr="003F6306">
        <w:t>Act</w:t>
      </w:r>
      <w:r w:rsidRPr="003F6306">
        <w:rPr>
          <w:spacing w:val="-51"/>
        </w:rPr>
        <w:t xml:space="preserve"> </w:t>
      </w:r>
      <w:r w:rsidRPr="003F6306">
        <w:t>2012</w:t>
      </w:r>
      <w:bookmarkEnd w:id="126"/>
    </w:p>
    <w:p w:rsidR="007A01BD" w:rsidRPr="003F6306" w:rsidRDefault="00F82531" w:rsidP="00FB2DB6">
      <w:r w:rsidRPr="003F6306">
        <w:t xml:space="preserve">We support the principles of the </w:t>
      </w:r>
      <w:r w:rsidRPr="003F6306">
        <w:rPr>
          <w:i/>
        </w:rPr>
        <w:t xml:space="preserve">Carers Recognition Act 2012 </w:t>
      </w:r>
      <w:r w:rsidRPr="003F6306">
        <w:t>and demonstrate this</w:t>
      </w:r>
      <w:r w:rsidR="00FB2DB6">
        <w:t xml:space="preserve"> </w:t>
      </w:r>
      <w:r w:rsidRPr="003F6306">
        <w:t>through our commitment to providing flexible working arrangements for our staff to support their roles as carers.</w:t>
      </w:r>
    </w:p>
    <w:p w:rsidR="007A01BD" w:rsidRPr="003F6306" w:rsidRDefault="00F82531" w:rsidP="00FB2DB6">
      <w:pPr>
        <w:pStyle w:val="Heading2"/>
      </w:pPr>
      <w:bookmarkStart w:id="127" w:name="_Toc496019877"/>
      <w:r w:rsidRPr="003F6306">
        <w:t>Additional Commission information available on request</w:t>
      </w:r>
      <w:bookmarkEnd w:id="127"/>
    </w:p>
    <w:p w:rsidR="007A01BD" w:rsidRPr="003F6306" w:rsidRDefault="00F82531" w:rsidP="00FB2DB6">
      <w:r w:rsidRPr="003F6306">
        <w:t>In compliance with the requirements of the Standing Directions of the Minister for Finance, details in respect of the items listed below  have been retained by the department and are available on request, subject to the provisions of the FOI Act.</w:t>
      </w:r>
    </w:p>
    <w:p w:rsidR="007A01BD" w:rsidRPr="003F6306" w:rsidRDefault="00F82531" w:rsidP="005E2801">
      <w:pPr>
        <w:pStyle w:val="ListParagraph"/>
        <w:numPr>
          <w:ilvl w:val="0"/>
          <w:numId w:val="25"/>
        </w:numPr>
      </w:pPr>
      <w:r w:rsidRPr="003F6306">
        <w:t>A statement that declarations of pecuniary interests have been duly completed by all relevant</w:t>
      </w:r>
      <w:r w:rsidRPr="005E2801">
        <w:rPr>
          <w:spacing w:val="3"/>
        </w:rPr>
        <w:t xml:space="preserve"> </w:t>
      </w:r>
      <w:r w:rsidRPr="003F6306">
        <w:t>officers.</w:t>
      </w:r>
    </w:p>
    <w:p w:rsidR="007A01BD" w:rsidRPr="003F6306" w:rsidRDefault="00F82531" w:rsidP="005E2801">
      <w:pPr>
        <w:pStyle w:val="ListParagraph"/>
        <w:numPr>
          <w:ilvl w:val="0"/>
          <w:numId w:val="25"/>
        </w:numPr>
      </w:pPr>
      <w:r w:rsidRPr="003F6306">
        <w:t>Details of shares held by a senior officer as nominee or held beneficially in a statutory authority or</w:t>
      </w:r>
      <w:r w:rsidRPr="005E2801">
        <w:rPr>
          <w:spacing w:val="10"/>
        </w:rPr>
        <w:t xml:space="preserve"> </w:t>
      </w:r>
      <w:r w:rsidRPr="003F6306">
        <w:t>subsidiary.</w:t>
      </w:r>
    </w:p>
    <w:p w:rsidR="007A01BD" w:rsidRPr="003F6306" w:rsidRDefault="00F82531" w:rsidP="005E2801">
      <w:pPr>
        <w:pStyle w:val="ListParagraph"/>
        <w:numPr>
          <w:ilvl w:val="0"/>
          <w:numId w:val="25"/>
        </w:numPr>
      </w:pPr>
      <w:r w:rsidRPr="003F6306">
        <w:t>Details of publications produced by the entity about itself, and how these can be</w:t>
      </w:r>
      <w:r w:rsidRPr="005E2801">
        <w:rPr>
          <w:spacing w:val="3"/>
        </w:rPr>
        <w:t xml:space="preserve"> </w:t>
      </w:r>
      <w:r w:rsidRPr="003F6306">
        <w:t>obtained.</w:t>
      </w:r>
    </w:p>
    <w:p w:rsidR="007A01BD" w:rsidRPr="003F6306" w:rsidRDefault="00F82531" w:rsidP="005E2801">
      <w:pPr>
        <w:pStyle w:val="ListParagraph"/>
        <w:numPr>
          <w:ilvl w:val="0"/>
          <w:numId w:val="25"/>
        </w:numPr>
      </w:pPr>
      <w:r w:rsidRPr="003F6306">
        <w:t>Details of changes in prices, fees, charges, rates and levies charged by the</w:t>
      </w:r>
      <w:r w:rsidRPr="005E2801">
        <w:rPr>
          <w:spacing w:val="5"/>
        </w:rPr>
        <w:t xml:space="preserve"> </w:t>
      </w:r>
      <w:r w:rsidRPr="003F6306">
        <w:t>entity.</w:t>
      </w:r>
    </w:p>
    <w:p w:rsidR="007A01BD" w:rsidRPr="003F6306" w:rsidRDefault="00F82531" w:rsidP="005E2801">
      <w:pPr>
        <w:pStyle w:val="ListParagraph"/>
        <w:numPr>
          <w:ilvl w:val="0"/>
          <w:numId w:val="25"/>
        </w:numPr>
      </w:pPr>
      <w:r w:rsidRPr="003F6306">
        <w:t>Details of any major external reviews carried out on the</w:t>
      </w:r>
      <w:r w:rsidRPr="005E2801">
        <w:rPr>
          <w:spacing w:val="7"/>
        </w:rPr>
        <w:t xml:space="preserve"> </w:t>
      </w:r>
      <w:r w:rsidRPr="003F6306">
        <w:t>entity.</w:t>
      </w:r>
    </w:p>
    <w:p w:rsidR="007A01BD" w:rsidRPr="003F6306" w:rsidRDefault="00F82531" w:rsidP="005E2801">
      <w:pPr>
        <w:pStyle w:val="ListParagraph"/>
        <w:numPr>
          <w:ilvl w:val="0"/>
          <w:numId w:val="25"/>
        </w:numPr>
      </w:pPr>
      <w:r w:rsidRPr="003F6306">
        <w:t>Details of major research and development activities undertaken by the</w:t>
      </w:r>
      <w:r w:rsidRPr="005E2801">
        <w:rPr>
          <w:spacing w:val="12"/>
        </w:rPr>
        <w:t xml:space="preserve"> </w:t>
      </w:r>
      <w:r w:rsidRPr="003F6306">
        <w:t>entity.</w:t>
      </w:r>
    </w:p>
    <w:p w:rsidR="007A01BD" w:rsidRPr="003F6306" w:rsidRDefault="00F82531" w:rsidP="005E2801">
      <w:pPr>
        <w:pStyle w:val="ListParagraph"/>
        <w:numPr>
          <w:ilvl w:val="0"/>
          <w:numId w:val="25"/>
        </w:numPr>
      </w:pPr>
      <w:r w:rsidRPr="003F6306">
        <w:t>Details of overseas visits undertaken including a summary of the objectives and outcomes of each</w:t>
      </w:r>
      <w:r w:rsidRPr="005E2801">
        <w:rPr>
          <w:spacing w:val="7"/>
        </w:rPr>
        <w:t xml:space="preserve"> </w:t>
      </w:r>
      <w:r w:rsidRPr="003F6306">
        <w:t>visit.</w:t>
      </w:r>
    </w:p>
    <w:p w:rsidR="007A01BD" w:rsidRPr="003F6306" w:rsidRDefault="00F82531" w:rsidP="005E2801">
      <w:pPr>
        <w:pStyle w:val="ListParagraph"/>
        <w:numPr>
          <w:ilvl w:val="0"/>
          <w:numId w:val="25"/>
        </w:numPr>
      </w:pPr>
      <w:r w:rsidRPr="003F6306">
        <w:t>Details of major promotional, public relations and marketing activities undertaken by the entity to develop community awareness of the entity and its</w:t>
      </w:r>
      <w:r w:rsidRPr="005E2801">
        <w:rPr>
          <w:spacing w:val="18"/>
        </w:rPr>
        <w:t xml:space="preserve"> </w:t>
      </w:r>
      <w:r w:rsidRPr="003F6306">
        <w:t>services.</w:t>
      </w:r>
    </w:p>
    <w:p w:rsidR="007A01BD" w:rsidRPr="003F6306" w:rsidRDefault="00F82531" w:rsidP="005E2801">
      <w:pPr>
        <w:pStyle w:val="ListParagraph"/>
        <w:numPr>
          <w:ilvl w:val="0"/>
          <w:numId w:val="25"/>
        </w:numPr>
      </w:pPr>
      <w:r w:rsidRPr="003F6306">
        <w:t>Details of assessments and measures undertaken to improve the occupational health and safety of</w:t>
      </w:r>
      <w:r w:rsidRPr="005E2801">
        <w:rPr>
          <w:spacing w:val="12"/>
        </w:rPr>
        <w:t xml:space="preserve"> </w:t>
      </w:r>
      <w:r w:rsidRPr="003F6306">
        <w:t>employees.</w:t>
      </w:r>
    </w:p>
    <w:p w:rsidR="007A01BD" w:rsidRPr="003F6306" w:rsidRDefault="00F82531" w:rsidP="005E2801">
      <w:pPr>
        <w:pStyle w:val="ListParagraph"/>
        <w:numPr>
          <w:ilvl w:val="0"/>
          <w:numId w:val="25"/>
        </w:numPr>
      </w:pPr>
      <w:r w:rsidRPr="003F6306">
        <w:t>A general statement on industrial relations within the entity and details of time lost through industrial accidents and</w:t>
      </w:r>
      <w:r w:rsidRPr="005E2801">
        <w:rPr>
          <w:spacing w:val="23"/>
        </w:rPr>
        <w:t xml:space="preserve"> </w:t>
      </w:r>
      <w:r w:rsidRPr="003F6306">
        <w:t>disputes.</w:t>
      </w:r>
    </w:p>
    <w:p w:rsidR="007A01BD" w:rsidRPr="003F6306" w:rsidRDefault="00F82531" w:rsidP="005E2801">
      <w:pPr>
        <w:pStyle w:val="ListParagraph"/>
        <w:numPr>
          <w:ilvl w:val="0"/>
          <w:numId w:val="25"/>
        </w:numPr>
      </w:pPr>
      <w:r w:rsidRPr="003F6306">
        <w:t>A list of major committees sponsored by the entity, the purposes of each committee and the extent to which the purposes have been</w:t>
      </w:r>
      <w:r w:rsidRPr="005E2801">
        <w:rPr>
          <w:spacing w:val="2"/>
        </w:rPr>
        <w:t xml:space="preserve"> </w:t>
      </w:r>
      <w:r w:rsidRPr="003F6306">
        <w:t>achieved.</w:t>
      </w:r>
    </w:p>
    <w:p w:rsidR="007A01BD" w:rsidRPr="003F6306" w:rsidRDefault="00F82531" w:rsidP="005E2801">
      <w:pPr>
        <w:pStyle w:val="ListParagraph"/>
        <w:numPr>
          <w:ilvl w:val="0"/>
          <w:numId w:val="25"/>
        </w:numPr>
      </w:pPr>
      <w:r w:rsidRPr="003F6306">
        <w:t>Details of all consultancies and contractors including:</w:t>
      </w:r>
    </w:p>
    <w:p w:rsidR="007A01BD" w:rsidRPr="003F6306" w:rsidRDefault="00F82531" w:rsidP="005E2801">
      <w:pPr>
        <w:pStyle w:val="ListParagraph"/>
        <w:numPr>
          <w:ilvl w:val="1"/>
          <w:numId w:val="25"/>
        </w:numPr>
      </w:pPr>
      <w:r w:rsidRPr="003F6306">
        <w:lastRenderedPageBreak/>
        <w:t>consultants/contractors</w:t>
      </w:r>
      <w:r w:rsidRPr="005E2801">
        <w:rPr>
          <w:spacing w:val="18"/>
        </w:rPr>
        <w:t xml:space="preserve"> </w:t>
      </w:r>
      <w:r w:rsidRPr="003F6306">
        <w:t>engaged</w:t>
      </w:r>
    </w:p>
    <w:p w:rsidR="007A01BD" w:rsidRPr="003F6306" w:rsidRDefault="00F82531" w:rsidP="005E2801">
      <w:pPr>
        <w:pStyle w:val="ListParagraph"/>
        <w:numPr>
          <w:ilvl w:val="1"/>
          <w:numId w:val="25"/>
        </w:numPr>
      </w:pPr>
      <w:r w:rsidRPr="003F6306">
        <w:t>services</w:t>
      </w:r>
      <w:r w:rsidRPr="005E2801">
        <w:rPr>
          <w:spacing w:val="15"/>
        </w:rPr>
        <w:t xml:space="preserve"> </w:t>
      </w:r>
      <w:r w:rsidRPr="003F6306">
        <w:t>provided</w:t>
      </w:r>
    </w:p>
    <w:p w:rsidR="00FB2DB6" w:rsidRPr="00FB2DB6" w:rsidRDefault="00F82531" w:rsidP="005E2801">
      <w:pPr>
        <w:pStyle w:val="ListParagraph"/>
        <w:numPr>
          <w:ilvl w:val="1"/>
          <w:numId w:val="25"/>
        </w:numPr>
      </w:pPr>
      <w:r w:rsidRPr="003F6306">
        <w:t>expenditure committed to for each</w:t>
      </w:r>
      <w:r w:rsidRPr="005E2801">
        <w:rPr>
          <w:spacing w:val="12"/>
        </w:rPr>
        <w:t xml:space="preserve"> </w:t>
      </w:r>
      <w:r w:rsidRPr="003F6306">
        <w:t>engagement.</w:t>
      </w:r>
    </w:p>
    <w:p w:rsidR="00FB2DB6" w:rsidRDefault="00F82531" w:rsidP="00FB2DB6">
      <w:pPr>
        <w:tabs>
          <w:tab w:val="left" w:pos="1985"/>
        </w:tabs>
        <w:spacing w:before="95" w:line="396" w:lineRule="auto"/>
        <w:ind w:right="174"/>
      </w:pPr>
      <w:r w:rsidRPr="003F6306">
        <w:t xml:space="preserve">The information is available on request from: </w:t>
      </w:r>
    </w:p>
    <w:p w:rsidR="007A01BD" w:rsidRPr="003F6306" w:rsidRDefault="00F82531" w:rsidP="00FB2DB6">
      <w:pPr>
        <w:pStyle w:val="TextIndent1"/>
      </w:pPr>
      <w:r w:rsidRPr="003F6306">
        <w:t>Chief Executive Officer</w:t>
      </w:r>
    </w:p>
    <w:p w:rsidR="007A01BD" w:rsidRPr="003F6306" w:rsidRDefault="00F82531" w:rsidP="00FB2DB6">
      <w:pPr>
        <w:pStyle w:val="TextIndent1"/>
      </w:pPr>
      <w:r w:rsidRPr="003F6306">
        <w:t>Commission for Children and Young People</w:t>
      </w:r>
    </w:p>
    <w:p w:rsidR="007A01BD" w:rsidRPr="003F6306" w:rsidRDefault="00F82531" w:rsidP="00FB2DB6">
      <w:pPr>
        <w:pStyle w:val="TextIndent1"/>
      </w:pPr>
      <w:r w:rsidRPr="003F6306">
        <w:t>Level 18, 570 Bourke Street</w:t>
      </w:r>
    </w:p>
    <w:p w:rsidR="007A01BD" w:rsidRPr="003F6306" w:rsidRDefault="00F82531" w:rsidP="00FB2DB6">
      <w:pPr>
        <w:pStyle w:val="TextIndent1"/>
      </w:pPr>
      <w:r w:rsidRPr="003F6306">
        <w:t>Melbourne VIC 3000.</w:t>
      </w:r>
    </w:p>
    <w:p w:rsidR="007A01BD" w:rsidRPr="003F6306" w:rsidRDefault="00F82531" w:rsidP="00FB2DB6">
      <w:pPr>
        <w:pStyle w:val="Heading2"/>
      </w:pPr>
      <w:bookmarkStart w:id="128" w:name="_Toc496019878"/>
      <w:r w:rsidRPr="003F6306">
        <w:t>Attestation for compliance with Ministerial Standing Direction 3.7.1</w:t>
      </w:r>
      <w:bookmarkEnd w:id="128"/>
    </w:p>
    <w:p w:rsidR="007A01BD" w:rsidRDefault="00F82531" w:rsidP="00FB2DB6">
      <w:r w:rsidRPr="003F6306">
        <w:t>I, Liana Buchanan, certify that the Commission for Children and Young People has complied with the Ministerial Standing Direction 3.7.1 – Risk management framework and processes. The Commission Audit and Risk Committee has verified this.</w:t>
      </w:r>
    </w:p>
    <w:p w:rsidR="00DF01C3" w:rsidRPr="003F6306" w:rsidRDefault="00DF01C3" w:rsidP="00FB2DB6"/>
    <w:p w:rsidR="007A01BD" w:rsidRPr="00DF01C3" w:rsidRDefault="00F82531" w:rsidP="00FB2DB6">
      <w:pPr>
        <w:rPr>
          <w:b/>
        </w:rPr>
      </w:pPr>
      <w:r w:rsidRPr="00DF01C3">
        <w:rPr>
          <w:b/>
        </w:rPr>
        <w:t>Liana Buchanan</w:t>
      </w:r>
    </w:p>
    <w:p w:rsidR="007A01BD" w:rsidRPr="003F6306" w:rsidRDefault="00F82531" w:rsidP="00FB2DB6">
      <w:pPr>
        <w:rPr>
          <w:rFonts w:ascii="HelveticaNeue-Medium"/>
        </w:rPr>
      </w:pPr>
      <w:r w:rsidRPr="003F6306">
        <w:rPr>
          <w:rFonts w:ascii="HelveticaNeue-Medium"/>
        </w:rPr>
        <w:t>Principal Commissioner</w:t>
      </w:r>
    </w:p>
    <w:p w:rsidR="007A01BD" w:rsidRPr="003F6306" w:rsidRDefault="00F82531" w:rsidP="00FB2DB6">
      <w:pPr>
        <w:rPr>
          <w:rFonts w:ascii="HelveticaNeue-Medium"/>
        </w:rPr>
      </w:pPr>
      <w:r w:rsidRPr="003F6306">
        <w:rPr>
          <w:rFonts w:ascii="HelveticaNeue-Medium"/>
        </w:rPr>
        <w:t>Commission for Children and Young People</w:t>
      </w:r>
    </w:p>
    <w:sectPr w:rsidR="007A01BD" w:rsidRPr="003F6306" w:rsidSect="005E2801">
      <w:pgSz w:w="11910" w:h="16840"/>
      <w:pgMar w:top="1134"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0B" w:rsidRDefault="00C95C0B" w:rsidP="00634352">
      <w:pPr>
        <w:spacing w:before="0"/>
      </w:pPr>
      <w:r>
        <w:separator/>
      </w:r>
    </w:p>
  </w:endnote>
  <w:endnote w:type="continuationSeparator" w:id="0">
    <w:p w:rsidR="00C95C0B" w:rsidRDefault="00C95C0B" w:rsidP="006343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swiss"/>
    <w:pitch w:val="variable"/>
  </w:font>
  <w:font w:name="HelveticaNeue-Light">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Medium">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Neue-MediumItalic">
    <w:altName w:val="Arial"/>
    <w:charset w:val="00"/>
    <w:family w:val="swiss"/>
    <w:pitch w:val="variable"/>
  </w:font>
  <w:font w:name="Open Sans">
    <w:altName w:val="Tahoma"/>
    <w:panose1 w:val="020B0606030504020204"/>
    <w:charset w:val="00"/>
    <w:family w:val="swiss"/>
    <w:pitch w:val="variable"/>
    <w:sig w:usb0="00000001" w:usb1="4000205B" w:usb2="00000028" w:usb3="00000000" w:csb0="0000019F" w:csb1="00000000"/>
  </w:font>
  <w:font w:name="HelveticaNeue-LightItalic">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1402" w:tblpY="-595"/>
      <w:tblW w:w="9077" w:type="dxa"/>
      <w:tblBorders>
        <w:top w:val="single" w:sz="4" w:space="0" w:color="auto"/>
        <w:left w:val="single" w:sz="4" w:space="0" w:color="auto"/>
        <w:bottom w:val="single" w:sz="4" w:space="0" w:color="auto"/>
        <w:right w:val="single" w:sz="4" w:space="0" w:color="auto"/>
        <w:insideH w:val="single" w:sz="4" w:space="0" w:color="984806" w:themeColor="accent6" w:themeShade="80"/>
        <w:insideV w:val="single" w:sz="4" w:space="0" w:color="auto"/>
      </w:tblBorders>
      <w:tblLayout w:type="fixed"/>
      <w:tblLook w:val="0080" w:firstRow="0" w:lastRow="0" w:firstColumn="1" w:lastColumn="0" w:noHBand="0" w:noVBand="0"/>
    </w:tblPr>
    <w:tblGrid>
      <w:gridCol w:w="3266"/>
      <w:gridCol w:w="141"/>
      <w:gridCol w:w="3544"/>
      <w:gridCol w:w="142"/>
      <w:gridCol w:w="1984"/>
    </w:tblGrid>
    <w:tr w:rsidR="00C74A3D" w:rsidRPr="00C74A3D" w:rsidTr="00C74A3D">
      <w:trPr>
        <w:trHeight w:val="368"/>
      </w:trPr>
      <w:tc>
        <w:tcPr>
          <w:cnfStyle w:val="001000000000" w:firstRow="0" w:lastRow="0" w:firstColumn="1" w:lastColumn="0" w:oddVBand="0" w:evenVBand="0" w:oddHBand="0" w:evenHBand="0" w:firstRowFirstColumn="0" w:firstRowLastColumn="0" w:lastRowFirstColumn="0" w:lastRowLastColumn="0"/>
          <w:tcW w:w="3266" w:type="dxa"/>
          <w:tcBorders>
            <w:top w:val="none" w:sz="0" w:space="0" w:color="auto"/>
            <w:left w:val="none" w:sz="0" w:space="0" w:color="auto"/>
            <w:bottom w:val="none" w:sz="0" w:space="0" w:color="auto"/>
            <w:right w:val="none" w:sz="0" w:space="0" w:color="auto"/>
          </w:tcBorders>
        </w:tcPr>
        <w:p w:rsidR="00C74A3D" w:rsidRPr="00C74A3D" w:rsidRDefault="00C74A3D" w:rsidP="00C74A3D">
          <w:pPr>
            <w:spacing w:before="0"/>
            <w:rPr>
              <w:rFonts w:eastAsia="Times New Roman" w:cs="Calibri"/>
              <w:color w:val="262626"/>
              <w:sz w:val="14"/>
            </w:rPr>
          </w:pPr>
          <w:r w:rsidRPr="00C74A3D">
            <w:rPr>
              <w:rFonts w:eastAsia="Times New Roman" w:cs="Calibri"/>
              <w:color w:val="262626"/>
              <w:sz w:val="14"/>
            </w:rPr>
            <w:t>Commission for Children and Young People</w:t>
          </w:r>
        </w:p>
      </w:tc>
      <w:tc>
        <w:tcPr>
          <w:tcW w:w="141" w:type="dxa"/>
          <w:tcBorders>
            <w:top w:val="nil"/>
            <w:bottom w:val="nil"/>
          </w:tcBorders>
        </w:tcPr>
        <w:p w:rsidR="00C74A3D" w:rsidRPr="00C74A3D" w:rsidRDefault="00C74A3D" w:rsidP="00C74A3D">
          <w:pPr>
            <w:spacing w:before="0"/>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4"/>
            </w:rPr>
          </w:pPr>
        </w:p>
      </w:tc>
      <w:tc>
        <w:tcPr>
          <w:cnfStyle w:val="000001000000" w:firstRow="0" w:lastRow="0" w:firstColumn="0" w:lastColumn="0" w:oddVBand="0" w:evenVBand="1"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rsidR="00C74A3D" w:rsidRPr="00C74A3D" w:rsidRDefault="00C74A3D" w:rsidP="00C74A3D">
          <w:pPr>
            <w:spacing w:before="0"/>
            <w:rPr>
              <w:rFonts w:eastAsia="Times New Roman" w:cs="Calibri"/>
              <w:color w:val="262626"/>
              <w:sz w:val="14"/>
            </w:rPr>
          </w:pPr>
          <w:r w:rsidRPr="00C74A3D">
            <w:rPr>
              <w:rFonts w:eastAsia="Times New Roman" w:cs="Calibri"/>
              <w:color w:val="262626"/>
              <w:sz w:val="14"/>
            </w:rPr>
            <w:t xml:space="preserve">Level 18 / 570 Bourke Street Melbourne, 3000 </w:t>
          </w:r>
        </w:p>
      </w:tc>
      <w:tc>
        <w:tcPr>
          <w:tcW w:w="142" w:type="dxa"/>
          <w:tcBorders>
            <w:top w:val="nil"/>
            <w:bottom w:val="nil"/>
          </w:tcBorders>
        </w:tcPr>
        <w:p w:rsidR="00C74A3D" w:rsidRPr="00C74A3D" w:rsidRDefault="00C74A3D" w:rsidP="00C74A3D">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color w:val="262626"/>
              <w:sz w:val="14"/>
            </w:rPr>
          </w:pP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C74A3D" w:rsidRPr="00C74A3D" w:rsidRDefault="00C74A3D" w:rsidP="00C74A3D">
          <w:pPr>
            <w:spacing w:before="0"/>
            <w:rPr>
              <w:rFonts w:eastAsia="Times New Roman" w:cs="Arial"/>
              <w:color w:val="262626"/>
              <w:sz w:val="14"/>
            </w:rPr>
          </w:pPr>
          <w:r w:rsidRPr="00C74A3D">
            <w:rPr>
              <w:rFonts w:eastAsia="Times New Roman" w:cs="Calibri"/>
              <w:color w:val="262626"/>
              <w:sz w:val="14"/>
            </w:rPr>
            <w:t>ccyp.vic.gov.au</w:t>
          </w:r>
          <w:r w:rsidRPr="00C74A3D">
            <w:rPr>
              <w:rFonts w:eastAsia="Times New Roman" w:cs="Arial"/>
              <w:color w:val="949699"/>
              <w:sz w:val="14"/>
              <w:szCs w:val="14"/>
            </w:rPr>
            <w:t xml:space="preserve"> </w:t>
          </w:r>
        </w:p>
      </w:tc>
    </w:tr>
  </w:tbl>
  <w:p w:rsidR="00C74A3D" w:rsidRDefault="00C74A3D" w:rsidP="00C74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3D" w:rsidRDefault="00C74A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1402" w:tblpY="-595"/>
      <w:tblW w:w="0" w:type="auto"/>
      <w:tblBorders>
        <w:top w:val="single" w:sz="4" w:space="0" w:color="auto"/>
        <w:left w:val="single" w:sz="4" w:space="0" w:color="auto"/>
        <w:bottom w:val="single" w:sz="4" w:space="0" w:color="auto"/>
        <w:right w:val="single" w:sz="4" w:space="0" w:color="auto"/>
        <w:insideH w:val="single" w:sz="4" w:space="0" w:color="984806" w:themeColor="accent6" w:themeShade="80"/>
        <w:insideV w:val="single" w:sz="4" w:space="0" w:color="auto"/>
      </w:tblBorders>
      <w:tblLayout w:type="fixed"/>
      <w:tblLook w:val="00A0" w:firstRow="1" w:lastRow="0" w:firstColumn="1" w:lastColumn="0" w:noHBand="0" w:noVBand="0"/>
    </w:tblPr>
    <w:tblGrid>
      <w:gridCol w:w="1139"/>
      <w:gridCol w:w="142"/>
      <w:gridCol w:w="6095"/>
    </w:tblGrid>
    <w:tr w:rsidR="00C74A3D" w:rsidRPr="00C74A3D" w:rsidTr="00CD1DDC">
      <w:trPr>
        <w:trHeight w:val="368"/>
      </w:trPr>
      <w:tc>
        <w:tcPr>
          <w:cnfStyle w:val="001000000000" w:firstRow="0" w:lastRow="0" w:firstColumn="1" w:lastColumn="0" w:oddVBand="0"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tcPr>
        <w:p w:rsidR="00C74A3D" w:rsidRPr="00C74A3D" w:rsidRDefault="00C74A3D" w:rsidP="00C74A3D">
          <w:pPr>
            <w:spacing w:before="0"/>
            <w:rPr>
              <w:rFonts w:eastAsia="Times New Roman" w:cs="Calibri"/>
              <w:color w:val="262626"/>
              <w:sz w:val="14"/>
            </w:rPr>
          </w:pPr>
          <w:r w:rsidRPr="00C74A3D">
            <w:rPr>
              <w:rFonts w:eastAsia="Times New Roman" w:cs="Calibri"/>
              <w:color w:val="262626"/>
              <w:sz w:val="14"/>
            </w:rPr>
            <w:t xml:space="preserve">Page </w:t>
          </w:r>
          <w:r w:rsidRPr="00C74A3D">
            <w:rPr>
              <w:rFonts w:eastAsia="Times New Roman" w:cs="Calibri"/>
              <w:color w:val="262626"/>
              <w:sz w:val="14"/>
            </w:rPr>
            <w:fldChar w:fldCharType="begin"/>
          </w:r>
          <w:r w:rsidRPr="00C74A3D">
            <w:rPr>
              <w:rFonts w:eastAsia="Times New Roman" w:cs="Calibri"/>
              <w:color w:val="262626"/>
              <w:sz w:val="14"/>
            </w:rPr>
            <w:instrText xml:space="preserve"> PAGE  \* Arabic  \* MERGEFORMAT </w:instrText>
          </w:r>
          <w:r w:rsidRPr="00C74A3D">
            <w:rPr>
              <w:rFonts w:eastAsia="Times New Roman" w:cs="Calibri"/>
              <w:color w:val="262626"/>
              <w:sz w:val="14"/>
            </w:rPr>
            <w:fldChar w:fldCharType="separate"/>
          </w:r>
          <w:r w:rsidR="00C522E6">
            <w:rPr>
              <w:rFonts w:eastAsia="Times New Roman" w:cs="Calibri"/>
              <w:noProof/>
              <w:color w:val="262626"/>
              <w:sz w:val="14"/>
            </w:rPr>
            <w:t>50</w:t>
          </w:r>
          <w:r w:rsidRPr="00C74A3D">
            <w:rPr>
              <w:rFonts w:eastAsia="Times New Roman" w:cs="Calibri"/>
              <w:color w:val="262626"/>
              <w:sz w:val="14"/>
            </w:rPr>
            <w:fldChar w:fldCharType="end"/>
          </w:r>
          <w:r w:rsidRPr="00C74A3D">
            <w:rPr>
              <w:rFonts w:eastAsia="Times New Roman" w:cs="Calibri"/>
              <w:color w:val="262626"/>
              <w:sz w:val="14"/>
            </w:rPr>
            <w:t xml:space="preserve"> of </w:t>
          </w:r>
          <w:r w:rsidRPr="00C74A3D">
            <w:rPr>
              <w:rFonts w:eastAsia="Times New Roman" w:cs="Calibri"/>
              <w:color w:val="262626"/>
              <w:sz w:val="14"/>
            </w:rPr>
            <w:fldChar w:fldCharType="begin"/>
          </w:r>
          <w:r w:rsidRPr="00C74A3D">
            <w:rPr>
              <w:rFonts w:eastAsia="Times New Roman" w:cs="Calibri"/>
              <w:color w:val="262626"/>
              <w:sz w:val="14"/>
            </w:rPr>
            <w:instrText xml:space="preserve"> NUMPAGES  \* Arabic  \* MERGEFORMAT </w:instrText>
          </w:r>
          <w:r w:rsidRPr="00C74A3D">
            <w:rPr>
              <w:rFonts w:eastAsia="Times New Roman" w:cs="Calibri"/>
              <w:color w:val="262626"/>
              <w:sz w:val="14"/>
            </w:rPr>
            <w:fldChar w:fldCharType="separate"/>
          </w:r>
          <w:r w:rsidR="00C522E6">
            <w:rPr>
              <w:rFonts w:eastAsia="Times New Roman" w:cs="Calibri"/>
              <w:noProof/>
              <w:color w:val="262626"/>
              <w:sz w:val="14"/>
            </w:rPr>
            <w:t>74</w:t>
          </w:r>
          <w:r w:rsidRPr="00C74A3D">
            <w:rPr>
              <w:rFonts w:eastAsia="Times New Roman" w:cs="Calibri"/>
              <w:noProof/>
              <w:color w:val="262626"/>
              <w:sz w:val="14"/>
            </w:rPr>
            <w:fldChar w:fldCharType="end"/>
          </w:r>
        </w:p>
      </w:tc>
      <w:tc>
        <w:tcPr>
          <w:tcW w:w="142" w:type="dxa"/>
          <w:tcBorders>
            <w:top w:val="nil"/>
            <w:bottom w:val="nil"/>
          </w:tcBorders>
        </w:tcPr>
        <w:p w:rsidR="00C74A3D" w:rsidRPr="00C74A3D" w:rsidRDefault="00C74A3D" w:rsidP="00C74A3D">
          <w:pPr>
            <w:spacing w:before="0"/>
            <w:cnfStyle w:val="000000000000" w:firstRow="0" w:lastRow="0" w:firstColumn="0" w:lastColumn="0" w:oddVBand="0" w:evenVBand="0" w:oddHBand="0" w:evenHBand="0" w:firstRowFirstColumn="0" w:firstRowLastColumn="0" w:lastRowFirstColumn="0" w:lastRowLastColumn="0"/>
            <w:rPr>
              <w:rFonts w:eastAsia="Times New Roman" w:cs="Calibri"/>
              <w:b/>
              <w:color w:val="262626"/>
              <w:sz w:val="14"/>
            </w:rPr>
          </w:pPr>
        </w:p>
      </w:tc>
      <w:tc>
        <w:tcPr>
          <w:cnfStyle w:val="000001000000" w:firstRow="0" w:lastRow="0" w:firstColumn="0" w:lastColumn="0" w:oddVBand="0" w:evenVBand="1" w:oddHBand="0" w:evenHBand="0" w:firstRowFirstColumn="0" w:firstRowLastColumn="0" w:lastRowFirstColumn="0" w:lastRowLastColumn="0"/>
          <w:tcW w:w="6095" w:type="dxa"/>
          <w:tcBorders>
            <w:top w:val="none" w:sz="0" w:space="0" w:color="auto"/>
            <w:left w:val="none" w:sz="0" w:space="0" w:color="auto"/>
            <w:bottom w:val="none" w:sz="0" w:space="0" w:color="auto"/>
            <w:right w:val="none" w:sz="0" w:space="0" w:color="auto"/>
          </w:tcBorders>
        </w:tcPr>
        <w:p w:rsidR="00C74A3D" w:rsidRPr="00C74A3D" w:rsidRDefault="00C74A3D" w:rsidP="00CD1DDC">
          <w:pPr>
            <w:spacing w:before="0"/>
            <w:rPr>
              <w:rFonts w:eastAsia="Times New Roman" w:cs="Arial"/>
              <w:color w:val="262626"/>
              <w:sz w:val="14"/>
            </w:rPr>
          </w:pPr>
          <w:r>
            <w:rPr>
              <w:rFonts w:eastAsia="Times New Roman" w:cs="Arial"/>
              <w:color w:val="262626"/>
              <w:sz w:val="14"/>
            </w:rPr>
            <w:t>Annual Report 2016-17</w:t>
          </w:r>
        </w:p>
      </w:tc>
    </w:tr>
  </w:tbl>
  <w:p w:rsidR="00C74A3D" w:rsidRDefault="00CD1DDC">
    <w:pPr>
      <w:pStyle w:val="Footer"/>
    </w:pPr>
    <w:r>
      <w:rPr>
        <w:noProof/>
        <w:lang w:val="en-AU" w:eastAsia="en-AU"/>
      </w:rPr>
      <w:drawing>
        <wp:anchor distT="0" distB="0" distL="114300" distR="114300" simplePos="0" relativeHeight="251663360" behindDoc="1" locked="0" layoutInCell="1" allowOverlap="1" wp14:anchorId="6BF3B21E" wp14:editId="7F050E0C">
          <wp:simplePos x="0" y="0"/>
          <wp:positionH relativeFrom="column">
            <wp:posOffset>4648200</wp:posOffset>
          </wp:positionH>
          <wp:positionV relativeFrom="paragraph">
            <wp:posOffset>-795020</wp:posOffset>
          </wp:positionV>
          <wp:extent cx="1617392" cy="8515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617392" cy="8515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0B" w:rsidRDefault="00C95C0B" w:rsidP="00634352">
      <w:pPr>
        <w:spacing w:before="0"/>
      </w:pPr>
      <w:r>
        <w:separator/>
      </w:r>
    </w:p>
  </w:footnote>
  <w:footnote w:type="continuationSeparator" w:id="0">
    <w:p w:rsidR="00C95C0B" w:rsidRDefault="00C95C0B" w:rsidP="00634352">
      <w:pPr>
        <w:spacing w:before="0"/>
      </w:pPr>
      <w:r>
        <w:continuationSeparator/>
      </w:r>
    </w:p>
  </w:footnote>
  <w:footnote w:id="1">
    <w:p w:rsidR="00C95C0B" w:rsidRPr="00634352" w:rsidRDefault="00C95C0B">
      <w:pPr>
        <w:pStyle w:val="FootnoteText"/>
        <w:rPr>
          <w:lang w:val="en-AU"/>
        </w:rPr>
      </w:pPr>
      <w:r>
        <w:rPr>
          <w:rStyle w:val="FootnoteReference"/>
        </w:rPr>
        <w:footnoteRef/>
      </w:r>
      <w:r>
        <w:t xml:space="preserve"> </w:t>
      </w:r>
      <w:r w:rsidRPr="002B2DBB">
        <w:t>The category of death is based on information available to the Commission in the child’s Child Protection client files, medical examination reports and coronial findings (when available). Cause is determined by the Coroner’s Court Victoria</w:t>
      </w:r>
      <w:r w:rsidRPr="003F6306">
        <w:rPr>
          <w:i/>
          <w:w w:val="90"/>
          <w:sz w:val="14"/>
        </w:rPr>
        <w:t>.</w:t>
      </w:r>
    </w:p>
  </w:footnote>
  <w:footnote w:id="2">
    <w:p w:rsidR="00C95C0B" w:rsidRPr="00634352" w:rsidRDefault="00C95C0B">
      <w:pPr>
        <w:pStyle w:val="FootnoteText"/>
        <w:rPr>
          <w:lang w:val="en-AU"/>
        </w:rPr>
      </w:pPr>
      <w:r>
        <w:rPr>
          <w:rStyle w:val="FootnoteReference"/>
        </w:rPr>
        <w:footnoteRef/>
      </w:r>
      <w:r>
        <w:t xml:space="preserve"> </w:t>
      </w:r>
      <w:r w:rsidRPr="002B2DBB">
        <w:t>Pending determination’ refers to deaths where the cause of death is not yet clear. This includes cases for which there is an ongoing coronial investigation.</w:t>
      </w:r>
    </w:p>
  </w:footnote>
  <w:footnote w:id="3">
    <w:p w:rsidR="00C95C0B" w:rsidRPr="00634352" w:rsidRDefault="00C95C0B">
      <w:pPr>
        <w:pStyle w:val="FootnoteText"/>
        <w:rPr>
          <w:lang w:val="en-AU"/>
        </w:rPr>
      </w:pPr>
      <w:r>
        <w:rPr>
          <w:rStyle w:val="FootnoteReference"/>
        </w:rPr>
        <w:footnoteRef/>
      </w:r>
      <w:r>
        <w:t xml:space="preserve"> </w:t>
      </w:r>
      <w:r w:rsidRPr="003F6306">
        <w:rPr>
          <w:i/>
          <w:w w:val="90"/>
          <w:sz w:val="14"/>
        </w:rPr>
        <w:t>‘</w:t>
      </w:r>
      <w:r w:rsidRPr="002B2DBB">
        <w:t>Unascertained’ refers to deaths in which a coroner could not determine the cause of death</w:t>
      </w:r>
      <w:r w:rsidRPr="003F6306">
        <w:rPr>
          <w:i/>
          <w:w w:val="90"/>
          <w:sz w:val="14"/>
        </w:rPr>
        <w:t>.</w:t>
      </w:r>
    </w:p>
  </w:footnote>
  <w:footnote w:id="4">
    <w:p w:rsidR="00C95C0B" w:rsidRPr="00D31FB8" w:rsidRDefault="00C95C0B">
      <w:pPr>
        <w:pStyle w:val="FootnoteText"/>
        <w:rPr>
          <w:lang w:val="en-AU"/>
        </w:rPr>
      </w:pPr>
      <w:r>
        <w:rPr>
          <w:rStyle w:val="FootnoteReference"/>
        </w:rPr>
        <w:footnoteRef/>
      </w:r>
      <w:r>
        <w:t xml:space="preserve"> </w:t>
      </w:r>
      <w:r>
        <w:rPr>
          <w:lang w:val="en-AU"/>
        </w:rPr>
        <w:t xml:space="preserve">The category of death is indicative only; it is based on information available to the Commission in the child’s Child Protection client files, medial examination reports and coronial findings (when available). Cause of death is determined by the Coroner’s Court Victoria. </w:t>
      </w:r>
    </w:p>
  </w:footnote>
  <w:footnote w:id="5">
    <w:p w:rsidR="00C95C0B" w:rsidRPr="00D31FB8" w:rsidRDefault="00C95C0B">
      <w:pPr>
        <w:pStyle w:val="FootnoteText"/>
        <w:rPr>
          <w:lang w:val="en-AU"/>
        </w:rPr>
      </w:pPr>
      <w:r>
        <w:rPr>
          <w:rStyle w:val="FootnoteReference"/>
        </w:rPr>
        <w:footnoteRef/>
      </w:r>
      <w:r>
        <w:t xml:space="preserve"> </w:t>
      </w:r>
      <w:r>
        <w:rPr>
          <w:lang w:val="en-AU"/>
        </w:rPr>
        <w:t>Unascertained refers to deaths in which a coroner could not determine the cause of death.</w:t>
      </w:r>
    </w:p>
  </w:footnote>
  <w:footnote w:id="6">
    <w:p w:rsidR="00C95C0B" w:rsidRPr="00D31FB8" w:rsidRDefault="00C95C0B">
      <w:pPr>
        <w:pStyle w:val="FootnoteText"/>
        <w:rPr>
          <w:lang w:val="en-AU"/>
        </w:rPr>
      </w:pPr>
      <w:r>
        <w:rPr>
          <w:rStyle w:val="FootnoteReference"/>
        </w:rPr>
        <w:footnoteRef/>
      </w:r>
      <w:r>
        <w:t xml:space="preserve"> </w:t>
      </w:r>
      <w:r>
        <w:rPr>
          <w:lang w:val="en-AU"/>
        </w:rPr>
        <w:t>Pending determination refers to deaths where the cause of death is not yet clear. This includes cases for which there is an ongoing coronial investigation.</w:t>
      </w:r>
    </w:p>
  </w:footnote>
  <w:footnote w:id="7">
    <w:p w:rsidR="00C95C0B" w:rsidRPr="00D31FB8" w:rsidRDefault="00C95C0B">
      <w:pPr>
        <w:pStyle w:val="FootnoteText"/>
        <w:rPr>
          <w:lang w:val="en-AU"/>
        </w:rPr>
      </w:pPr>
      <w:r>
        <w:rPr>
          <w:rStyle w:val="FootnoteReference"/>
        </w:rPr>
        <w:footnoteRef/>
      </w:r>
      <w:r>
        <w:t xml:space="preserve"> </w:t>
      </w:r>
      <w:r>
        <w:rPr>
          <w:lang w:val="en-AU"/>
        </w:rPr>
        <w:t>The category of death is indicative only; it is based on information available to the Commission in the child’s Child Protection client files, medial examination reports and coronial findings (when available). Cause of death is determined by the Coroner’s Court Victoria.</w:t>
      </w:r>
    </w:p>
  </w:footnote>
  <w:footnote w:id="8">
    <w:p w:rsidR="00C95C0B" w:rsidRPr="00D31FB8" w:rsidRDefault="00C95C0B">
      <w:pPr>
        <w:pStyle w:val="FootnoteText"/>
        <w:rPr>
          <w:lang w:val="en-AU"/>
        </w:rPr>
      </w:pPr>
      <w:r>
        <w:rPr>
          <w:rStyle w:val="FootnoteReference"/>
        </w:rPr>
        <w:footnoteRef/>
      </w:r>
      <w:r>
        <w:t xml:space="preserve"> </w:t>
      </w:r>
      <w:r>
        <w:rPr>
          <w:lang w:val="en-AU"/>
        </w:rPr>
        <w:t>Unascertained refers to deaths in which a coroner could not determine the cause of death.</w:t>
      </w:r>
    </w:p>
  </w:footnote>
  <w:footnote w:id="9">
    <w:p w:rsidR="00C95C0B" w:rsidRPr="00D31FB8" w:rsidRDefault="00C95C0B">
      <w:pPr>
        <w:pStyle w:val="FootnoteText"/>
        <w:rPr>
          <w:lang w:val="en-AU"/>
        </w:rPr>
      </w:pPr>
      <w:r>
        <w:rPr>
          <w:rStyle w:val="FootnoteReference"/>
        </w:rPr>
        <w:footnoteRef/>
      </w:r>
      <w:r>
        <w:t xml:space="preserve"> </w:t>
      </w:r>
      <w:r>
        <w:rPr>
          <w:lang w:val="en-AU"/>
        </w:rPr>
        <w:t>Pending determination refers to deaths where the cause of death is not yet clear. This includes cases for which there is an ongoing coronial investigation</w:t>
      </w:r>
    </w:p>
  </w:footnote>
  <w:footnote w:id="10">
    <w:p w:rsidR="00C95C0B" w:rsidRPr="00D31FB8" w:rsidRDefault="00C95C0B">
      <w:pPr>
        <w:pStyle w:val="FootnoteText"/>
        <w:rPr>
          <w:lang w:val="en-AU"/>
        </w:rPr>
      </w:pPr>
      <w:r>
        <w:rPr>
          <w:rStyle w:val="FootnoteReference"/>
        </w:rPr>
        <w:footnoteRef/>
      </w:r>
      <w:r>
        <w:t xml:space="preserve"> </w:t>
      </w:r>
      <w:r>
        <w:rPr>
          <w:lang w:val="en-AU"/>
        </w:rPr>
        <w:t>DHHS, Child Protection Manual, Unborn reports – advice (website) accessed 3 August 2017</w:t>
      </w:r>
    </w:p>
  </w:footnote>
  <w:footnote w:id="11">
    <w:p w:rsidR="00C95C0B" w:rsidRPr="002B2DBB" w:rsidRDefault="00C95C0B" w:rsidP="00B016EC">
      <w:pPr>
        <w:pStyle w:val="FootnoteText"/>
        <w:rPr>
          <w:lang w:val="en-AU"/>
        </w:rPr>
      </w:pPr>
      <w:r>
        <w:rPr>
          <w:rStyle w:val="FootnoteReference"/>
        </w:rPr>
        <w:footnoteRef/>
      </w:r>
      <w:r w:rsidRPr="002B2DBB">
        <w:t>While family violence was a circumstance in the children’s lives, it was not always a direct cause of death.</w:t>
      </w:r>
      <w:r>
        <w:t xml:space="preserve"> </w:t>
      </w:r>
    </w:p>
  </w:footnote>
  <w:footnote w:id="12">
    <w:p w:rsidR="00C95C0B" w:rsidRPr="002B2DBB" w:rsidRDefault="00C95C0B">
      <w:pPr>
        <w:pStyle w:val="FootnoteText"/>
        <w:rPr>
          <w:lang w:val="en-AU"/>
        </w:rPr>
      </w:pPr>
      <w:r>
        <w:rPr>
          <w:rStyle w:val="FootnoteReference"/>
        </w:rPr>
        <w:footnoteRef/>
      </w:r>
      <w:r>
        <w:t xml:space="preserve"> </w:t>
      </w:r>
      <w:r>
        <w:rPr>
          <w:lang w:val="en-AU"/>
        </w:rPr>
        <w:t>On 13 June 2017, the Family Violence Protection (information Sharing) Act 2017 was passed. Among other things, that act amended the Pirvacy and Data Protection Act 2014 so that it is no longer necessary for a threat to life, health, safety or welfare to be imminent. These changes will take effect on 1 July 2018.</w:t>
      </w:r>
    </w:p>
  </w:footnote>
  <w:footnote w:id="13">
    <w:p w:rsidR="00C95C0B" w:rsidRPr="00B016EC" w:rsidRDefault="00C95C0B">
      <w:pPr>
        <w:pStyle w:val="FootnoteText"/>
        <w:rPr>
          <w:lang w:val="en-AU"/>
        </w:rPr>
      </w:pPr>
      <w:r>
        <w:rPr>
          <w:rStyle w:val="FootnoteReference"/>
        </w:rPr>
        <w:footnoteRef/>
      </w:r>
      <w:r>
        <w:t xml:space="preserve"> </w:t>
      </w:r>
      <w:r w:rsidRPr="00B016EC">
        <w:t>Victorian Ombudsman, Report on youth justice facilities at the Grevillea Unit of Barwon Prison, Malmsbury and Parkville. February 2017</w:t>
      </w:r>
    </w:p>
  </w:footnote>
  <w:footnote w:id="14">
    <w:p w:rsidR="00C95C0B" w:rsidRPr="00B016EC" w:rsidRDefault="00C95C0B">
      <w:pPr>
        <w:pStyle w:val="FootnoteText"/>
        <w:rPr>
          <w:lang w:val="en-AU"/>
        </w:rPr>
      </w:pPr>
      <w:r>
        <w:rPr>
          <w:rStyle w:val="FootnoteReference"/>
        </w:rPr>
        <w:footnoteRef/>
      </w:r>
      <w:r>
        <w:t xml:space="preserve"> </w:t>
      </w:r>
      <w:r w:rsidRPr="00B016EC">
        <w:t>We note that since April 2017, YHaRS has been overseen by Justice Health, within DJR.</w:t>
      </w:r>
    </w:p>
  </w:footnote>
  <w:footnote w:id="15">
    <w:p w:rsidR="00C95C0B" w:rsidRPr="004656BE" w:rsidRDefault="00C95C0B">
      <w:pPr>
        <w:pStyle w:val="FootnoteText"/>
        <w:rPr>
          <w:lang w:val="en-AU"/>
        </w:rPr>
      </w:pPr>
      <w:r>
        <w:rPr>
          <w:rStyle w:val="FootnoteReference"/>
        </w:rPr>
        <w:footnoteRef/>
      </w:r>
      <w:r w:rsidRPr="004656BE">
        <w:t>7.</w:t>
      </w:r>
      <w:r w:rsidRPr="004656BE">
        <w:tab/>
        <w:t>Commission for Children and Young People Act 2012, s.60A. This amendment came into effect on 16 March 2016 and requires the Secretary of DHHS to, ‘disclose to the Commission any information about an adverse event relating to a child in out-of-home care or a person detained in a youth justice centre or a youth residential centre if the information is relevant to the Commission’s functions’</w:t>
      </w:r>
      <w:r>
        <w:t xml:space="preserve"> </w:t>
      </w:r>
    </w:p>
  </w:footnote>
  <w:footnote w:id="16">
    <w:p w:rsidR="00C95C0B" w:rsidRPr="004656BE" w:rsidRDefault="00C95C0B">
      <w:pPr>
        <w:pStyle w:val="FootnoteText"/>
        <w:rPr>
          <w:lang w:val="en-AU"/>
        </w:rPr>
      </w:pPr>
      <w:r>
        <w:rPr>
          <w:rStyle w:val="FootnoteReference"/>
        </w:rPr>
        <w:footnoteRef/>
      </w:r>
      <w:r>
        <w:t xml:space="preserve"> </w:t>
      </w:r>
      <w:r w:rsidRPr="004656BE">
        <w:t>In the 2015–2016 Annual Report, categories of incidents that recorded less than five incidents were aggregated into similar incident categories (Escape from Centre was included in Absent/Missing, Possession was included in Drug/Alcohol, Medication Errors were included into Medical condition (known – deterioration).</w:t>
      </w:r>
    </w:p>
  </w:footnote>
  <w:footnote w:id="17">
    <w:p w:rsidR="00C95C0B" w:rsidRPr="004656BE" w:rsidRDefault="00C95C0B">
      <w:pPr>
        <w:pStyle w:val="FootnoteText"/>
        <w:rPr>
          <w:lang w:val="en-AU"/>
        </w:rPr>
      </w:pPr>
      <w:r>
        <w:rPr>
          <w:rStyle w:val="FootnoteReference"/>
        </w:rPr>
        <w:footnoteRef/>
      </w:r>
      <w:r>
        <w:t xml:space="preserve"> </w:t>
      </w:r>
      <w:r w:rsidRPr="004656BE">
        <w:t>For a full explanation of each category, see Department of Human Services, Incident type categorisation table 2011, last updated December 2012, online: &lt;http://www.dhs. vic.gov.au/__data/assets/pdf_file/0009/684711/critical-client-categorisation-table-12-2012.pdf&gt;,  accessed  29  August 2017</w:t>
      </w:r>
    </w:p>
  </w:footnote>
  <w:footnote w:id="18">
    <w:p w:rsidR="00C95C0B" w:rsidRPr="00FB6950" w:rsidRDefault="00C95C0B">
      <w:pPr>
        <w:pStyle w:val="FootnoteText"/>
        <w:rPr>
          <w:lang w:val="en-AU"/>
        </w:rPr>
      </w:pPr>
      <w:r>
        <w:rPr>
          <w:rStyle w:val="FootnoteReference"/>
        </w:rPr>
        <w:footnoteRef/>
      </w:r>
      <w:r w:rsidRPr="00FB6950">
        <w:t>See Department of Human Services, Incident type categorisation table 2011, last updated December 2012, online: &lt;http://www.dhs.vic.gov.au/__data/assets/pdf_ file/0009/684711/critical-client-categorisation-table-12-2012.pdf&gt;,  accessed  29  August 2017.</w:t>
      </w:r>
      <w:r>
        <w:t xml:space="preserve"> </w:t>
      </w:r>
    </w:p>
  </w:footnote>
  <w:footnote w:id="19">
    <w:p w:rsidR="00C95C0B" w:rsidRPr="00FB6950" w:rsidRDefault="00C95C0B">
      <w:pPr>
        <w:pStyle w:val="FootnoteText"/>
        <w:rPr>
          <w:lang w:val="en-AU"/>
        </w:rPr>
      </w:pPr>
      <w:r>
        <w:rPr>
          <w:rStyle w:val="FootnoteReference"/>
        </w:rPr>
        <w:footnoteRef/>
      </w:r>
      <w:r>
        <w:t xml:space="preserve"> </w:t>
      </w:r>
      <w:r w:rsidRPr="00FB6950">
        <w:t>In 2015–2016, the most reported Category One incident in out-of-home care was behaviour – sexual exploitation (412, 15 per cent), followed by ‘behaviour – dangerous’ (345 incidents, 12 per cent).</w:t>
      </w:r>
    </w:p>
  </w:footnote>
  <w:footnote w:id="20">
    <w:p w:rsidR="00C95C0B" w:rsidRPr="00FB6950" w:rsidRDefault="00C95C0B">
      <w:pPr>
        <w:pStyle w:val="FootnoteText"/>
        <w:rPr>
          <w:lang w:val="en-AU"/>
        </w:rPr>
      </w:pPr>
      <w:r>
        <w:rPr>
          <w:rStyle w:val="FootnoteReference"/>
        </w:rPr>
        <w:footnoteRef/>
      </w:r>
      <w:r>
        <w:t xml:space="preserve"> </w:t>
      </w:r>
      <w:r w:rsidRPr="00FB6950">
        <w:t>Staff’ can also include home-based carers</w:t>
      </w:r>
    </w:p>
  </w:footnote>
  <w:footnote w:id="21">
    <w:p w:rsidR="00C95C0B" w:rsidRPr="00EA3248" w:rsidRDefault="00C95C0B">
      <w:pPr>
        <w:pStyle w:val="FootnoteText"/>
        <w:rPr>
          <w:lang w:val="en-AU"/>
        </w:rPr>
      </w:pPr>
      <w:r>
        <w:rPr>
          <w:rStyle w:val="FootnoteReference"/>
        </w:rPr>
        <w:footnoteRef/>
      </w:r>
      <w:r>
        <w:t xml:space="preserve"> Population figures were calculated by averaging the ‘end of month’ figures provide by DHHS for each month in 2016-17</w:t>
      </w:r>
    </w:p>
  </w:footnote>
  <w:footnote w:id="22">
    <w:p w:rsidR="00C95C0B" w:rsidRDefault="00C95C0B" w:rsidP="00835EB1">
      <w:pPr>
        <w:pStyle w:val="FootnoteText"/>
      </w:pPr>
      <w:r>
        <w:rPr>
          <w:rStyle w:val="FootnoteReference"/>
        </w:rPr>
        <w:footnoteRef/>
      </w:r>
      <w:r>
        <w:t xml:space="preserve"> We do not receive Category One incident reports for children and young people subject to a permanent care order because they are not DHHS clients.</w:t>
      </w:r>
    </w:p>
  </w:footnote>
  <w:footnote w:id="23">
    <w:p w:rsidR="00C95C0B" w:rsidRPr="00EA3248" w:rsidRDefault="00C95C0B">
      <w:pPr>
        <w:pStyle w:val="FootnoteText"/>
        <w:rPr>
          <w:lang w:val="en-AU"/>
        </w:rPr>
      </w:pPr>
      <w:r>
        <w:rPr>
          <w:rStyle w:val="FootnoteReference"/>
        </w:rPr>
        <w:footnoteRef/>
      </w:r>
      <w:r w:rsidRPr="00EA3248">
        <w:t>9.</w:t>
      </w:r>
      <w:r w:rsidRPr="00EA3248">
        <w:tab/>
        <w:t>DHHS advises that incident reporting data undergoes routine validation and as such is subject to minor changes over time. Total numbers contained in this report may not be directly comparable to subsequently released incident reporting information, https://www.dhhs.vic.gov.au/publications/quarterly-incident-data, accessed 21 June 2017.</w:t>
      </w:r>
      <w:r>
        <w:t xml:space="preserve"> </w:t>
      </w:r>
    </w:p>
  </w:footnote>
  <w:footnote w:id="24">
    <w:p w:rsidR="00C95C0B" w:rsidRPr="00EA3248" w:rsidRDefault="00C95C0B">
      <w:pPr>
        <w:pStyle w:val="FootnoteText"/>
        <w:rPr>
          <w:lang w:val="en-AU"/>
        </w:rPr>
      </w:pPr>
      <w:r>
        <w:rPr>
          <w:rStyle w:val="FootnoteReference"/>
        </w:rPr>
        <w:footnoteRef/>
      </w:r>
      <w:r>
        <w:t xml:space="preserve"> </w:t>
      </w:r>
      <w:r w:rsidRPr="00EA3248">
        <w:t>Raising issues on behalf of callers only occurs rarely, with the caller’s permission, and when the issues raised are either considered significant and serious or the caller has exhausted all internal complaints mechanisms or the caller is considered particularly vulnerable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0B" w:rsidRDefault="00C95C0B">
    <w:pPr>
      <w:pStyle w:val="Header"/>
    </w:pPr>
    <w:r>
      <w:rPr>
        <w:noProof/>
        <w:lang w:val="en-AU" w:eastAsia="en-AU"/>
      </w:rPr>
      <w:drawing>
        <wp:anchor distT="0" distB="0" distL="114300" distR="114300" simplePos="0" relativeHeight="251661312" behindDoc="1" locked="0" layoutInCell="1" allowOverlap="1" wp14:anchorId="16B51718" wp14:editId="3C43BA01">
          <wp:simplePos x="0" y="0"/>
          <wp:positionH relativeFrom="column">
            <wp:posOffset>3902710</wp:posOffset>
          </wp:positionH>
          <wp:positionV relativeFrom="paragraph">
            <wp:posOffset>-479898</wp:posOffset>
          </wp:positionV>
          <wp:extent cx="3227705" cy="49872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1">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0D437A61" wp14:editId="70BA8FAF">
          <wp:simplePos x="0" y="0"/>
          <wp:positionH relativeFrom="column">
            <wp:posOffset>-74930</wp:posOffset>
          </wp:positionH>
          <wp:positionV relativeFrom="paragraph">
            <wp:posOffset>12700</wp:posOffset>
          </wp:positionV>
          <wp:extent cx="2325370" cy="1598295"/>
          <wp:effectExtent l="0" t="0" r="0" b="0"/>
          <wp:wrapTight wrapText="bothSides">
            <wp:wrapPolygon edited="0">
              <wp:start x="10086" y="0"/>
              <wp:lineTo x="8848" y="257"/>
              <wp:lineTo x="5839" y="3347"/>
              <wp:lineTo x="6016" y="8238"/>
              <wp:lineTo x="1946" y="11328"/>
              <wp:lineTo x="1946" y="11843"/>
              <wp:lineTo x="7786" y="12358"/>
              <wp:lineTo x="0" y="14160"/>
              <wp:lineTo x="0" y="16219"/>
              <wp:lineTo x="2831" y="16734"/>
              <wp:lineTo x="2831" y="18536"/>
              <wp:lineTo x="10794" y="20596"/>
              <wp:lineTo x="1770" y="21111"/>
              <wp:lineTo x="1770" y="21368"/>
              <wp:lineTo x="19642" y="21368"/>
              <wp:lineTo x="19819" y="21111"/>
              <wp:lineTo x="10794" y="20596"/>
              <wp:lineTo x="18580" y="18536"/>
              <wp:lineTo x="18580" y="16477"/>
              <wp:lineTo x="21411" y="16219"/>
              <wp:lineTo x="21411" y="14417"/>
              <wp:lineTo x="13625" y="12358"/>
              <wp:lineTo x="19288" y="11843"/>
              <wp:lineTo x="19465" y="11328"/>
              <wp:lineTo x="15218" y="7466"/>
              <wp:lineTo x="15395" y="5149"/>
              <wp:lineTo x="15218" y="3604"/>
              <wp:lineTo x="14156" y="2060"/>
              <wp:lineTo x="11856" y="0"/>
              <wp:lineTo x="10086"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2">
                    <a:extLst>
                      <a:ext uri="{28A0092B-C50C-407E-A947-70E740481C1C}">
                        <a14:useLocalDpi xmlns:a14="http://schemas.microsoft.com/office/drawing/2010/main" val="0"/>
                      </a:ext>
                    </a:extLst>
                  </a:blip>
                  <a:stretch>
                    <a:fillRect/>
                  </a:stretch>
                </pic:blipFill>
                <pic:spPr>
                  <a:xfrm>
                    <a:off x="0" y="0"/>
                    <a:ext cx="2325370" cy="1598295"/>
                  </a:xfrm>
                  <a:prstGeom prst="rect">
                    <a:avLst/>
                  </a:prstGeom>
                </pic:spPr>
              </pic:pic>
            </a:graphicData>
          </a:graphic>
          <wp14:sizeRelH relativeFrom="page">
            <wp14:pctWidth>0</wp14:pctWidth>
          </wp14:sizeRelH>
          <wp14:sizeRelV relativeFrom="page">
            <wp14:pctHeight>0</wp14:pctHeight>
          </wp14:sizeRelV>
        </wp:anchor>
      </w:drawing>
    </w:r>
  </w:p>
  <w:p w:rsidR="00C74A3D" w:rsidRDefault="00C74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370AA8"/>
    <w:multiLevelType w:val="hybridMultilevel"/>
    <w:tmpl w:val="EE642590"/>
    <w:lvl w:ilvl="0" w:tplc="6248BE72">
      <w:start w:val="1"/>
      <w:numFmt w:val="decimal"/>
      <w:lvlText w:val="%1."/>
      <w:lvlJc w:val="left"/>
      <w:pPr>
        <w:ind w:left="473" w:hanging="360"/>
      </w:pPr>
      <w:rPr>
        <w:rFonts w:ascii="Helvetica Neue" w:eastAsia="Helvetica Neue" w:hAnsi="Helvetica Neue" w:cs="Helvetica Neue" w:hint="default"/>
        <w:color w:val="121212"/>
        <w:spacing w:val="-16"/>
        <w:w w:val="100"/>
        <w:sz w:val="20"/>
        <w:szCs w:val="20"/>
      </w:rPr>
    </w:lvl>
    <w:lvl w:ilvl="1" w:tplc="C270E336">
      <w:start w:val="1"/>
      <w:numFmt w:val="lowerLetter"/>
      <w:lvlText w:val="%2."/>
      <w:lvlJc w:val="left"/>
      <w:pPr>
        <w:ind w:left="567" w:hanging="341"/>
        <w:jc w:val="right"/>
      </w:pPr>
      <w:rPr>
        <w:rFonts w:ascii="Helvetica Neue" w:eastAsia="Helvetica Neue" w:hAnsi="Helvetica Neue" w:cs="Helvetica Neue" w:hint="default"/>
        <w:color w:val="303231"/>
        <w:spacing w:val="-3"/>
        <w:w w:val="98"/>
        <w:sz w:val="20"/>
        <w:szCs w:val="20"/>
      </w:rPr>
    </w:lvl>
    <w:lvl w:ilvl="2" w:tplc="0C42927C">
      <w:start w:val="1"/>
      <w:numFmt w:val="lowerRoman"/>
      <w:lvlText w:val="(%3)"/>
      <w:lvlJc w:val="left"/>
      <w:pPr>
        <w:ind w:left="1984" w:hanging="397"/>
      </w:pPr>
      <w:rPr>
        <w:rFonts w:ascii="Helvetica Neue" w:eastAsia="Helvetica Neue" w:hAnsi="Helvetica Neue" w:cs="Helvetica Neue" w:hint="default"/>
        <w:color w:val="303231"/>
        <w:spacing w:val="-8"/>
        <w:w w:val="100"/>
        <w:sz w:val="20"/>
        <w:szCs w:val="20"/>
      </w:rPr>
    </w:lvl>
    <w:lvl w:ilvl="3" w:tplc="248C7394">
      <w:numFmt w:val="bullet"/>
      <w:lvlText w:val="•"/>
      <w:lvlJc w:val="left"/>
      <w:pPr>
        <w:ind w:left="1634" w:hanging="397"/>
      </w:pPr>
      <w:rPr>
        <w:rFonts w:hint="default"/>
      </w:rPr>
    </w:lvl>
    <w:lvl w:ilvl="4" w:tplc="962A6D72">
      <w:numFmt w:val="bullet"/>
      <w:lvlText w:val="•"/>
      <w:lvlJc w:val="left"/>
      <w:pPr>
        <w:ind w:left="1288" w:hanging="397"/>
      </w:pPr>
      <w:rPr>
        <w:rFonts w:hint="default"/>
      </w:rPr>
    </w:lvl>
    <w:lvl w:ilvl="5" w:tplc="3FF03AF6">
      <w:numFmt w:val="bullet"/>
      <w:lvlText w:val="•"/>
      <w:lvlJc w:val="left"/>
      <w:pPr>
        <w:ind w:left="942" w:hanging="397"/>
      </w:pPr>
      <w:rPr>
        <w:rFonts w:hint="default"/>
      </w:rPr>
    </w:lvl>
    <w:lvl w:ilvl="6" w:tplc="59B0288A">
      <w:numFmt w:val="bullet"/>
      <w:lvlText w:val="•"/>
      <w:lvlJc w:val="left"/>
      <w:pPr>
        <w:ind w:left="597" w:hanging="397"/>
      </w:pPr>
      <w:rPr>
        <w:rFonts w:hint="default"/>
      </w:rPr>
    </w:lvl>
    <w:lvl w:ilvl="7" w:tplc="BCE8A744">
      <w:numFmt w:val="bullet"/>
      <w:lvlText w:val="•"/>
      <w:lvlJc w:val="left"/>
      <w:pPr>
        <w:ind w:left="251" w:hanging="397"/>
      </w:pPr>
      <w:rPr>
        <w:rFonts w:hint="default"/>
      </w:rPr>
    </w:lvl>
    <w:lvl w:ilvl="8" w:tplc="5934B12E">
      <w:numFmt w:val="bullet"/>
      <w:lvlText w:val="•"/>
      <w:lvlJc w:val="left"/>
      <w:pPr>
        <w:ind w:left="-95" w:hanging="397"/>
      </w:pPr>
      <w:rPr>
        <w:rFonts w:hint="default"/>
      </w:rPr>
    </w:lvl>
  </w:abstractNum>
  <w:abstractNum w:abstractNumId="2">
    <w:nsid w:val="136D7FD3"/>
    <w:multiLevelType w:val="hybridMultilevel"/>
    <w:tmpl w:val="09AA2A38"/>
    <w:lvl w:ilvl="0" w:tplc="0D5CDC26">
      <w:start w:val="1"/>
      <w:numFmt w:val="decimal"/>
      <w:lvlText w:val="%1."/>
      <w:lvlJc w:val="left"/>
      <w:pPr>
        <w:ind w:left="473" w:hanging="360"/>
      </w:pPr>
      <w:rPr>
        <w:rFonts w:ascii="HelveticaNeue-Light" w:eastAsia="HelveticaNeue-Light" w:hAnsi="HelveticaNeue-Light" w:cs="HelveticaNeue-Light" w:hint="default"/>
        <w:color w:val="FFFFFF"/>
        <w:spacing w:val="-17"/>
        <w:w w:val="100"/>
        <w:sz w:val="21"/>
        <w:szCs w:val="21"/>
      </w:rPr>
    </w:lvl>
    <w:lvl w:ilvl="1" w:tplc="456CB172">
      <w:numFmt w:val="bullet"/>
      <w:lvlText w:val="•"/>
      <w:lvlJc w:val="left"/>
      <w:pPr>
        <w:ind w:left="832" w:hanging="360"/>
      </w:pPr>
      <w:rPr>
        <w:rFonts w:hint="default"/>
      </w:rPr>
    </w:lvl>
    <w:lvl w:ilvl="2" w:tplc="0776821C">
      <w:numFmt w:val="bullet"/>
      <w:lvlText w:val="•"/>
      <w:lvlJc w:val="left"/>
      <w:pPr>
        <w:ind w:left="1184" w:hanging="360"/>
      </w:pPr>
      <w:rPr>
        <w:rFonts w:hint="default"/>
      </w:rPr>
    </w:lvl>
    <w:lvl w:ilvl="3" w:tplc="ECB432A2">
      <w:numFmt w:val="bullet"/>
      <w:lvlText w:val="•"/>
      <w:lvlJc w:val="left"/>
      <w:pPr>
        <w:ind w:left="1537" w:hanging="360"/>
      </w:pPr>
      <w:rPr>
        <w:rFonts w:hint="default"/>
      </w:rPr>
    </w:lvl>
    <w:lvl w:ilvl="4" w:tplc="E6A045D0">
      <w:numFmt w:val="bullet"/>
      <w:lvlText w:val="•"/>
      <w:lvlJc w:val="left"/>
      <w:pPr>
        <w:ind w:left="1889" w:hanging="360"/>
      </w:pPr>
      <w:rPr>
        <w:rFonts w:hint="default"/>
      </w:rPr>
    </w:lvl>
    <w:lvl w:ilvl="5" w:tplc="A86E23F2">
      <w:numFmt w:val="bullet"/>
      <w:lvlText w:val="•"/>
      <w:lvlJc w:val="left"/>
      <w:pPr>
        <w:ind w:left="2242" w:hanging="360"/>
      </w:pPr>
      <w:rPr>
        <w:rFonts w:hint="default"/>
      </w:rPr>
    </w:lvl>
    <w:lvl w:ilvl="6" w:tplc="5218C540">
      <w:numFmt w:val="bullet"/>
      <w:lvlText w:val="•"/>
      <w:lvlJc w:val="left"/>
      <w:pPr>
        <w:ind w:left="2594" w:hanging="360"/>
      </w:pPr>
      <w:rPr>
        <w:rFonts w:hint="default"/>
      </w:rPr>
    </w:lvl>
    <w:lvl w:ilvl="7" w:tplc="AB00A3FA">
      <w:numFmt w:val="bullet"/>
      <w:lvlText w:val="•"/>
      <w:lvlJc w:val="left"/>
      <w:pPr>
        <w:ind w:left="2947" w:hanging="360"/>
      </w:pPr>
      <w:rPr>
        <w:rFonts w:hint="default"/>
      </w:rPr>
    </w:lvl>
    <w:lvl w:ilvl="8" w:tplc="3830F4BC">
      <w:numFmt w:val="bullet"/>
      <w:lvlText w:val="•"/>
      <w:lvlJc w:val="left"/>
      <w:pPr>
        <w:ind w:left="3299" w:hanging="360"/>
      </w:pPr>
      <w:rPr>
        <w:rFonts w:hint="default"/>
      </w:rPr>
    </w:lvl>
  </w:abstractNum>
  <w:abstractNum w:abstractNumId="3">
    <w:nsid w:val="1B774BC1"/>
    <w:multiLevelType w:val="hybridMultilevel"/>
    <w:tmpl w:val="D4FC53FA"/>
    <w:lvl w:ilvl="0" w:tplc="107A9B50">
      <w:numFmt w:val="bullet"/>
      <w:lvlText w:val="•"/>
      <w:lvlJc w:val="left"/>
      <w:pPr>
        <w:ind w:left="1160" w:hanging="341"/>
      </w:pPr>
      <w:rPr>
        <w:rFonts w:ascii="Helvetica Neue" w:eastAsia="Helvetica Neue" w:hAnsi="Helvetica Neue" w:cs="Helvetica Neue" w:hint="default"/>
        <w:color w:val="303231"/>
        <w:w w:val="142"/>
        <w:sz w:val="20"/>
        <w:szCs w:val="20"/>
      </w:rPr>
    </w:lvl>
    <w:lvl w:ilvl="1" w:tplc="E74C1202">
      <w:numFmt w:val="bullet"/>
      <w:lvlText w:val="•"/>
      <w:lvlJc w:val="left"/>
      <w:pPr>
        <w:ind w:left="1576" w:hanging="341"/>
      </w:pPr>
      <w:rPr>
        <w:rFonts w:hint="default"/>
      </w:rPr>
    </w:lvl>
    <w:lvl w:ilvl="2" w:tplc="4A32B384">
      <w:numFmt w:val="bullet"/>
      <w:lvlText w:val="•"/>
      <w:lvlJc w:val="left"/>
      <w:pPr>
        <w:ind w:left="1993" w:hanging="341"/>
      </w:pPr>
      <w:rPr>
        <w:rFonts w:hint="default"/>
      </w:rPr>
    </w:lvl>
    <w:lvl w:ilvl="3" w:tplc="65D64082">
      <w:numFmt w:val="bullet"/>
      <w:lvlText w:val="•"/>
      <w:lvlJc w:val="left"/>
      <w:pPr>
        <w:ind w:left="2410" w:hanging="341"/>
      </w:pPr>
      <w:rPr>
        <w:rFonts w:hint="default"/>
      </w:rPr>
    </w:lvl>
    <w:lvl w:ilvl="4" w:tplc="474ED7B0">
      <w:numFmt w:val="bullet"/>
      <w:lvlText w:val="•"/>
      <w:lvlJc w:val="left"/>
      <w:pPr>
        <w:ind w:left="2826" w:hanging="341"/>
      </w:pPr>
      <w:rPr>
        <w:rFonts w:hint="default"/>
      </w:rPr>
    </w:lvl>
    <w:lvl w:ilvl="5" w:tplc="31748216">
      <w:numFmt w:val="bullet"/>
      <w:lvlText w:val="•"/>
      <w:lvlJc w:val="left"/>
      <w:pPr>
        <w:ind w:left="3243" w:hanging="341"/>
      </w:pPr>
      <w:rPr>
        <w:rFonts w:hint="default"/>
      </w:rPr>
    </w:lvl>
    <w:lvl w:ilvl="6" w:tplc="0B0E5E70">
      <w:numFmt w:val="bullet"/>
      <w:lvlText w:val="•"/>
      <w:lvlJc w:val="left"/>
      <w:pPr>
        <w:ind w:left="3660" w:hanging="341"/>
      </w:pPr>
      <w:rPr>
        <w:rFonts w:hint="default"/>
      </w:rPr>
    </w:lvl>
    <w:lvl w:ilvl="7" w:tplc="708C47A2">
      <w:numFmt w:val="bullet"/>
      <w:lvlText w:val="•"/>
      <w:lvlJc w:val="left"/>
      <w:pPr>
        <w:ind w:left="4077" w:hanging="341"/>
      </w:pPr>
      <w:rPr>
        <w:rFonts w:hint="default"/>
      </w:rPr>
    </w:lvl>
    <w:lvl w:ilvl="8" w:tplc="6A98D01A">
      <w:numFmt w:val="bullet"/>
      <w:lvlText w:val="•"/>
      <w:lvlJc w:val="left"/>
      <w:pPr>
        <w:ind w:left="4493" w:hanging="341"/>
      </w:pPr>
      <w:rPr>
        <w:rFonts w:hint="default"/>
      </w:rPr>
    </w:lvl>
  </w:abstractNum>
  <w:abstractNum w:abstractNumId="4">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4F81BD"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856BA"/>
    <w:multiLevelType w:val="hybridMultilevel"/>
    <w:tmpl w:val="F1D0787E"/>
    <w:lvl w:ilvl="0" w:tplc="F76699A6">
      <w:numFmt w:val="bullet"/>
      <w:lvlText w:val="•"/>
      <w:lvlJc w:val="left"/>
      <w:pPr>
        <w:ind w:left="1166" w:hanging="341"/>
      </w:pPr>
      <w:rPr>
        <w:rFonts w:ascii="Helvetica Neue" w:eastAsia="Helvetica Neue" w:hAnsi="Helvetica Neue" w:cs="Helvetica Neue" w:hint="default"/>
        <w:color w:val="303231"/>
        <w:w w:val="142"/>
        <w:sz w:val="20"/>
        <w:szCs w:val="20"/>
      </w:rPr>
    </w:lvl>
    <w:lvl w:ilvl="1" w:tplc="E33855D6">
      <w:numFmt w:val="bullet"/>
      <w:lvlText w:val="•"/>
      <w:lvlJc w:val="left"/>
      <w:pPr>
        <w:ind w:left="1577" w:hanging="341"/>
      </w:pPr>
      <w:rPr>
        <w:rFonts w:hint="default"/>
      </w:rPr>
    </w:lvl>
    <w:lvl w:ilvl="2" w:tplc="7A7413A2">
      <w:numFmt w:val="bullet"/>
      <w:lvlText w:val="•"/>
      <w:lvlJc w:val="left"/>
      <w:pPr>
        <w:ind w:left="1994" w:hanging="341"/>
      </w:pPr>
      <w:rPr>
        <w:rFonts w:hint="default"/>
      </w:rPr>
    </w:lvl>
    <w:lvl w:ilvl="3" w:tplc="ABA69946">
      <w:numFmt w:val="bullet"/>
      <w:lvlText w:val="•"/>
      <w:lvlJc w:val="left"/>
      <w:pPr>
        <w:ind w:left="2412" w:hanging="341"/>
      </w:pPr>
      <w:rPr>
        <w:rFonts w:hint="default"/>
      </w:rPr>
    </w:lvl>
    <w:lvl w:ilvl="4" w:tplc="7AF23BAE">
      <w:numFmt w:val="bullet"/>
      <w:lvlText w:val="•"/>
      <w:lvlJc w:val="left"/>
      <w:pPr>
        <w:ind w:left="2829" w:hanging="341"/>
      </w:pPr>
      <w:rPr>
        <w:rFonts w:hint="default"/>
      </w:rPr>
    </w:lvl>
    <w:lvl w:ilvl="5" w:tplc="F214A87A">
      <w:numFmt w:val="bullet"/>
      <w:lvlText w:val="•"/>
      <w:lvlJc w:val="left"/>
      <w:pPr>
        <w:ind w:left="3247" w:hanging="341"/>
      </w:pPr>
      <w:rPr>
        <w:rFonts w:hint="default"/>
      </w:rPr>
    </w:lvl>
    <w:lvl w:ilvl="6" w:tplc="C16CCAA8">
      <w:numFmt w:val="bullet"/>
      <w:lvlText w:val="•"/>
      <w:lvlJc w:val="left"/>
      <w:pPr>
        <w:ind w:left="3664" w:hanging="341"/>
      </w:pPr>
      <w:rPr>
        <w:rFonts w:hint="default"/>
      </w:rPr>
    </w:lvl>
    <w:lvl w:ilvl="7" w:tplc="2682A65A">
      <w:numFmt w:val="bullet"/>
      <w:lvlText w:val="•"/>
      <w:lvlJc w:val="left"/>
      <w:pPr>
        <w:ind w:left="4082" w:hanging="341"/>
      </w:pPr>
      <w:rPr>
        <w:rFonts w:hint="default"/>
      </w:rPr>
    </w:lvl>
    <w:lvl w:ilvl="8" w:tplc="34EA4F12">
      <w:numFmt w:val="bullet"/>
      <w:lvlText w:val="•"/>
      <w:lvlJc w:val="left"/>
      <w:pPr>
        <w:ind w:left="4499" w:hanging="341"/>
      </w:pPr>
      <w:rPr>
        <w:rFonts w:hint="default"/>
      </w:rPr>
    </w:lvl>
  </w:abstractNum>
  <w:abstractNum w:abstractNumId="7">
    <w:nsid w:val="23720B80"/>
    <w:multiLevelType w:val="hybridMultilevel"/>
    <w:tmpl w:val="CD26E3B8"/>
    <w:lvl w:ilvl="0" w:tplc="901E646A">
      <w:start w:val="1"/>
      <w:numFmt w:val="decimal"/>
      <w:lvlText w:val="%1."/>
      <w:lvlJc w:val="left"/>
      <w:pPr>
        <w:ind w:left="113" w:hanging="128"/>
      </w:pPr>
      <w:rPr>
        <w:rFonts w:ascii="Helvetica Neue" w:eastAsia="Helvetica Neue" w:hAnsi="Helvetica Neue" w:cs="Helvetica Neue" w:hint="default"/>
        <w:i/>
        <w:color w:val="3D3F3F"/>
        <w:spacing w:val="-5"/>
        <w:w w:val="84"/>
        <w:sz w:val="14"/>
        <w:szCs w:val="14"/>
      </w:rPr>
    </w:lvl>
    <w:lvl w:ilvl="1" w:tplc="8D72E7BA">
      <w:start w:val="7"/>
      <w:numFmt w:val="decimal"/>
      <w:lvlText w:val="%2."/>
      <w:lvlJc w:val="left"/>
      <w:pPr>
        <w:ind w:left="266" w:hanging="124"/>
        <w:jc w:val="right"/>
      </w:pPr>
      <w:rPr>
        <w:rFonts w:ascii="Helvetica Neue" w:eastAsia="Helvetica Neue" w:hAnsi="Helvetica Neue" w:cs="Helvetica Neue" w:hint="default"/>
        <w:i/>
        <w:color w:val="3D3F3F"/>
        <w:spacing w:val="-9"/>
        <w:w w:val="84"/>
        <w:sz w:val="14"/>
        <w:szCs w:val="14"/>
      </w:rPr>
    </w:lvl>
    <w:lvl w:ilvl="2" w:tplc="7F126066">
      <w:numFmt w:val="bullet"/>
      <w:lvlText w:val="•"/>
      <w:lvlJc w:val="left"/>
      <w:pPr>
        <w:ind w:left="2109" w:hanging="124"/>
      </w:pPr>
      <w:rPr>
        <w:rFonts w:hint="default"/>
      </w:rPr>
    </w:lvl>
    <w:lvl w:ilvl="3" w:tplc="BB6E248A">
      <w:numFmt w:val="bullet"/>
      <w:lvlText w:val="•"/>
      <w:lvlJc w:val="left"/>
      <w:pPr>
        <w:ind w:left="3079" w:hanging="124"/>
      </w:pPr>
      <w:rPr>
        <w:rFonts w:hint="default"/>
      </w:rPr>
    </w:lvl>
    <w:lvl w:ilvl="4" w:tplc="48BE390E">
      <w:numFmt w:val="bullet"/>
      <w:lvlText w:val="•"/>
      <w:lvlJc w:val="left"/>
      <w:pPr>
        <w:ind w:left="4048" w:hanging="124"/>
      </w:pPr>
      <w:rPr>
        <w:rFonts w:hint="default"/>
      </w:rPr>
    </w:lvl>
    <w:lvl w:ilvl="5" w:tplc="4978EC9E">
      <w:numFmt w:val="bullet"/>
      <w:lvlText w:val="•"/>
      <w:lvlJc w:val="left"/>
      <w:pPr>
        <w:ind w:left="5018" w:hanging="124"/>
      </w:pPr>
      <w:rPr>
        <w:rFonts w:hint="default"/>
      </w:rPr>
    </w:lvl>
    <w:lvl w:ilvl="6" w:tplc="31222FF2">
      <w:numFmt w:val="bullet"/>
      <w:lvlText w:val="•"/>
      <w:lvlJc w:val="left"/>
      <w:pPr>
        <w:ind w:left="5987" w:hanging="124"/>
      </w:pPr>
      <w:rPr>
        <w:rFonts w:hint="default"/>
      </w:rPr>
    </w:lvl>
    <w:lvl w:ilvl="7" w:tplc="A00C8DC8">
      <w:numFmt w:val="bullet"/>
      <w:lvlText w:val="•"/>
      <w:lvlJc w:val="left"/>
      <w:pPr>
        <w:ind w:left="6957" w:hanging="124"/>
      </w:pPr>
      <w:rPr>
        <w:rFonts w:hint="default"/>
      </w:rPr>
    </w:lvl>
    <w:lvl w:ilvl="8" w:tplc="A50C657E">
      <w:numFmt w:val="bullet"/>
      <w:lvlText w:val="•"/>
      <w:lvlJc w:val="left"/>
      <w:pPr>
        <w:ind w:left="7926" w:hanging="124"/>
      </w:pPr>
      <w:rPr>
        <w:rFonts w:hint="default"/>
      </w:rPr>
    </w:lvl>
  </w:abstractNum>
  <w:abstractNum w:abstractNumId="8">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4F81BD"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F5F91"/>
    <w:multiLevelType w:val="hybridMultilevel"/>
    <w:tmpl w:val="187C8F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D467CF"/>
    <w:multiLevelType w:val="hybridMultilevel"/>
    <w:tmpl w:val="793676E8"/>
    <w:lvl w:ilvl="0" w:tplc="2DC42B2C">
      <w:numFmt w:val="bullet"/>
      <w:lvlText w:val="•"/>
      <w:lvlJc w:val="left"/>
      <w:pPr>
        <w:ind w:left="454" w:hanging="341"/>
      </w:pPr>
      <w:rPr>
        <w:rFonts w:ascii="Helvetica Neue" w:eastAsia="Helvetica Neue" w:hAnsi="Helvetica Neue" w:cs="Helvetica Neue" w:hint="default"/>
        <w:color w:val="303231"/>
        <w:w w:val="142"/>
        <w:sz w:val="20"/>
        <w:szCs w:val="20"/>
      </w:rPr>
    </w:lvl>
    <w:lvl w:ilvl="1" w:tplc="7DA459E0">
      <w:numFmt w:val="bullet"/>
      <w:lvlText w:val="•"/>
      <w:lvlJc w:val="left"/>
      <w:pPr>
        <w:ind w:left="1474" w:hanging="341"/>
      </w:pPr>
      <w:rPr>
        <w:rFonts w:ascii="Helvetica Neue" w:eastAsia="Helvetica Neue" w:hAnsi="Helvetica Neue" w:cs="Helvetica Neue" w:hint="default"/>
        <w:color w:val="303231"/>
        <w:w w:val="142"/>
        <w:sz w:val="20"/>
        <w:szCs w:val="20"/>
      </w:rPr>
    </w:lvl>
    <w:lvl w:ilvl="2" w:tplc="40B00E06">
      <w:numFmt w:val="bullet"/>
      <w:lvlText w:val="•"/>
      <w:lvlJc w:val="left"/>
      <w:pPr>
        <w:ind w:left="1240" w:hanging="341"/>
      </w:pPr>
      <w:rPr>
        <w:rFonts w:hint="default"/>
      </w:rPr>
    </w:lvl>
    <w:lvl w:ilvl="3" w:tplc="44B41A6C">
      <w:numFmt w:val="bullet"/>
      <w:lvlText w:val="•"/>
      <w:lvlJc w:val="left"/>
      <w:pPr>
        <w:ind w:left="1480" w:hanging="341"/>
      </w:pPr>
      <w:rPr>
        <w:rFonts w:hint="default"/>
      </w:rPr>
    </w:lvl>
    <w:lvl w:ilvl="4" w:tplc="DF660536">
      <w:numFmt w:val="bullet"/>
      <w:lvlText w:val="•"/>
      <w:lvlJc w:val="left"/>
      <w:pPr>
        <w:ind w:left="5700" w:hanging="341"/>
      </w:pPr>
      <w:rPr>
        <w:rFonts w:hint="default"/>
      </w:rPr>
    </w:lvl>
    <w:lvl w:ilvl="5" w:tplc="5D0C22E2">
      <w:numFmt w:val="bullet"/>
      <w:lvlText w:val="•"/>
      <w:lvlJc w:val="left"/>
      <w:pPr>
        <w:ind w:left="4715" w:hanging="341"/>
      </w:pPr>
      <w:rPr>
        <w:rFonts w:hint="default"/>
      </w:rPr>
    </w:lvl>
    <w:lvl w:ilvl="6" w:tplc="A07E9C46">
      <w:numFmt w:val="bullet"/>
      <w:lvlText w:val="•"/>
      <w:lvlJc w:val="left"/>
      <w:pPr>
        <w:ind w:left="3730" w:hanging="341"/>
      </w:pPr>
      <w:rPr>
        <w:rFonts w:hint="default"/>
      </w:rPr>
    </w:lvl>
    <w:lvl w:ilvl="7" w:tplc="D2665068">
      <w:numFmt w:val="bullet"/>
      <w:lvlText w:val="•"/>
      <w:lvlJc w:val="left"/>
      <w:pPr>
        <w:ind w:left="2745" w:hanging="341"/>
      </w:pPr>
      <w:rPr>
        <w:rFonts w:hint="default"/>
      </w:rPr>
    </w:lvl>
    <w:lvl w:ilvl="8" w:tplc="F980610C">
      <w:numFmt w:val="bullet"/>
      <w:lvlText w:val="•"/>
      <w:lvlJc w:val="left"/>
      <w:pPr>
        <w:ind w:left="1761" w:hanging="341"/>
      </w:pPr>
      <w:rPr>
        <w:rFonts w:hint="default"/>
      </w:rPr>
    </w:lvl>
  </w:abstractNum>
  <w:abstractNum w:abstractNumId="12">
    <w:nsid w:val="4BE02294"/>
    <w:multiLevelType w:val="hybridMultilevel"/>
    <w:tmpl w:val="91C84AC2"/>
    <w:lvl w:ilvl="0" w:tplc="6AFA6FF4">
      <w:numFmt w:val="bullet"/>
      <w:lvlText w:val="•"/>
      <w:lvlJc w:val="left"/>
      <w:pPr>
        <w:ind w:left="1200" w:hanging="341"/>
      </w:pPr>
      <w:rPr>
        <w:rFonts w:ascii="Helvetica Neue" w:eastAsia="Helvetica Neue" w:hAnsi="Helvetica Neue" w:cs="Helvetica Neue" w:hint="default"/>
        <w:color w:val="303231"/>
        <w:w w:val="142"/>
        <w:sz w:val="20"/>
        <w:szCs w:val="20"/>
      </w:rPr>
    </w:lvl>
    <w:lvl w:ilvl="1" w:tplc="41ACDEFA">
      <w:numFmt w:val="bullet"/>
      <w:lvlText w:val="•"/>
      <w:lvlJc w:val="left"/>
      <w:pPr>
        <w:ind w:left="1616" w:hanging="341"/>
      </w:pPr>
      <w:rPr>
        <w:rFonts w:hint="default"/>
      </w:rPr>
    </w:lvl>
    <w:lvl w:ilvl="2" w:tplc="9EDA8004">
      <w:numFmt w:val="bullet"/>
      <w:lvlText w:val="•"/>
      <w:lvlJc w:val="left"/>
      <w:pPr>
        <w:ind w:left="2033" w:hanging="341"/>
      </w:pPr>
      <w:rPr>
        <w:rFonts w:hint="default"/>
      </w:rPr>
    </w:lvl>
    <w:lvl w:ilvl="3" w:tplc="808E26B2">
      <w:numFmt w:val="bullet"/>
      <w:lvlText w:val="•"/>
      <w:lvlJc w:val="left"/>
      <w:pPr>
        <w:ind w:left="2450" w:hanging="341"/>
      </w:pPr>
      <w:rPr>
        <w:rFonts w:hint="default"/>
      </w:rPr>
    </w:lvl>
    <w:lvl w:ilvl="4" w:tplc="E0885A62">
      <w:numFmt w:val="bullet"/>
      <w:lvlText w:val="•"/>
      <w:lvlJc w:val="left"/>
      <w:pPr>
        <w:ind w:left="2867" w:hanging="341"/>
      </w:pPr>
      <w:rPr>
        <w:rFonts w:hint="default"/>
      </w:rPr>
    </w:lvl>
    <w:lvl w:ilvl="5" w:tplc="D3668BB0">
      <w:numFmt w:val="bullet"/>
      <w:lvlText w:val="•"/>
      <w:lvlJc w:val="left"/>
      <w:pPr>
        <w:ind w:left="3283" w:hanging="341"/>
      </w:pPr>
      <w:rPr>
        <w:rFonts w:hint="default"/>
      </w:rPr>
    </w:lvl>
    <w:lvl w:ilvl="6" w:tplc="4E78BA62">
      <w:numFmt w:val="bullet"/>
      <w:lvlText w:val="•"/>
      <w:lvlJc w:val="left"/>
      <w:pPr>
        <w:ind w:left="3700" w:hanging="341"/>
      </w:pPr>
      <w:rPr>
        <w:rFonts w:hint="default"/>
      </w:rPr>
    </w:lvl>
    <w:lvl w:ilvl="7" w:tplc="D24C525A">
      <w:numFmt w:val="bullet"/>
      <w:lvlText w:val="•"/>
      <w:lvlJc w:val="left"/>
      <w:pPr>
        <w:ind w:left="4117" w:hanging="341"/>
      </w:pPr>
      <w:rPr>
        <w:rFonts w:hint="default"/>
      </w:rPr>
    </w:lvl>
    <w:lvl w:ilvl="8" w:tplc="B4F6F83E">
      <w:numFmt w:val="bullet"/>
      <w:lvlText w:val="•"/>
      <w:lvlJc w:val="left"/>
      <w:pPr>
        <w:ind w:left="4534" w:hanging="341"/>
      </w:pPr>
      <w:rPr>
        <w:rFonts w:hint="default"/>
      </w:rPr>
    </w:lvl>
  </w:abstractNum>
  <w:abstractNum w:abstractNumId="13">
    <w:nsid w:val="56927528"/>
    <w:multiLevelType w:val="hybridMultilevel"/>
    <w:tmpl w:val="9F4828F0"/>
    <w:lvl w:ilvl="0" w:tplc="0C16F780">
      <w:numFmt w:val="bullet"/>
      <w:lvlText w:val="•"/>
      <w:lvlJc w:val="left"/>
      <w:pPr>
        <w:ind w:left="1245" w:hanging="341"/>
      </w:pPr>
      <w:rPr>
        <w:rFonts w:ascii="Helvetica Neue" w:eastAsia="Helvetica Neue" w:hAnsi="Helvetica Neue" w:cs="Helvetica Neue" w:hint="default"/>
        <w:color w:val="303231"/>
        <w:w w:val="142"/>
        <w:sz w:val="20"/>
        <w:szCs w:val="20"/>
      </w:rPr>
    </w:lvl>
    <w:lvl w:ilvl="1" w:tplc="87CE4C94">
      <w:numFmt w:val="bullet"/>
      <w:lvlText w:val="•"/>
      <w:lvlJc w:val="left"/>
      <w:pPr>
        <w:ind w:left="1657" w:hanging="341"/>
      </w:pPr>
      <w:rPr>
        <w:rFonts w:hint="default"/>
      </w:rPr>
    </w:lvl>
    <w:lvl w:ilvl="2" w:tplc="58B48978">
      <w:numFmt w:val="bullet"/>
      <w:lvlText w:val="•"/>
      <w:lvlJc w:val="left"/>
      <w:pPr>
        <w:ind w:left="2074" w:hanging="341"/>
      </w:pPr>
      <w:rPr>
        <w:rFonts w:hint="default"/>
      </w:rPr>
    </w:lvl>
    <w:lvl w:ilvl="3" w:tplc="2F8C60DA">
      <w:numFmt w:val="bullet"/>
      <w:lvlText w:val="•"/>
      <w:lvlJc w:val="left"/>
      <w:pPr>
        <w:ind w:left="2491" w:hanging="341"/>
      </w:pPr>
      <w:rPr>
        <w:rFonts w:hint="default"/>
      </w:rPr>
    </w:lvl>
    <w:lvl w:ilvl="4" w:tplc="22BA7E48">
      <w:numFmt w:val="bullet"/>
      <w:lvlText w:val="•"/>
      <w:lvlJc w:val="left"/>
      <w:pPr>
        <w:ind w:left="2909" w:hanging="341"/>
      </w:pPr>
      <w:rPr>
        <w:rFonts w:hint="default"/>
      </w:rPr>
    </w:lvl>
    <w:lvl w:ilvl="5" w:tplc="EE44447E">
      <w:numFmt w:val="bullet"/>
      <w:lvlText w:val="•"/>
      <w:lvlJc w:val="left"/>
      <w:pPr>
        <w:ind w:left="3326" w:hanging="341"/>
      </w:pPr>
      <w:rPr>
        <w:rFonts w:hint="default"/>
      </w:rPr>
    </w:lvl>
    <w:lvl w:ilvl="6" w:tplc="E570ACB2">
      <w:numFmt w:val="bullet"/>
      <w:lvlText w:val="•"/>
      <w:lvlJc w:val="left"/>
      <w:pPr>
        <w:ind w:left="3743" w:hanging="341"/>
      </w:pPr>
      <w:rPr>
        <w:rFonts w:hint="default"/>
      </w:rPr>
    </w:lvl>
    <w:lvl w:ilvl="7" w:tplc="9FB0AABA">
      <w:numFmt w:val="bullet"/>
      <w:lvlText w:val="•"/>
      <w:lvlJc w:val="left"/>
      <w:pPr>
        <w:ind w:left="4160" w:hanging="341"/>
      </w:pPr>
      <w:rPr>
        <w:rFonts w:hint="default"/>
      </w:rPr>
    </w:lvl>
    <w:lvl w:ilvl="8" w:tplc="1186BF14">
      <w:numFmt w:val="bullet"/>
      <w:lvlText w:val="•"/>
      <w:lvlJc w:val="left"/>
      <w:pPr>
        <w:ind w:left="4578" w:hanging="341"/>
      </w:pPr>
      <w:rPr>
        <w:rFonts w:hint="default"/>
      </w:rPr>
    </w:lvl>
  </w:abstractNum>
  <w:abstractNum w:abstractNumId="14">
    <w:nsid w:val="58EA51D9"/>
    <w:multiLevelType w:val="hybridMultilevel"/>
    <w:tmpl w:val="625E0B82"/>
    <w:lvl w:ilvl="0" w:tplc="C4D6D282">
      <w:start w:val="1"/>
      <w:numFmt w:val="decimal"/>
      <w:lvlText w:val="%1."/>
      <w:lvlJc w:val="left"/>
      <w:pPr>
        <w:ind w:left="360" w:hanging="360"/>
      </w:pPr>
      <w:rPr>
        <w:rFonts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11D5A41"/>
    <w:multiLevelType w:val="hybridMultilevel"/>
    <w:tmpl w:val="7F3829E6"/>
    <w:lvl w:ilvl="0" w:tplc="BB821760">
      <w:start w:val="1"/>
      <w:numFmt w:val="decimal"/>
      <w:lvlText w:val="%1."/>
      <w:lvlJc w:val="left"/>
      <w:pPr>
        <w:ind w:left="850" w:hanging="360"/>
      </w:pPr>
      <w:rPr>
        <w:rFonts w:ascii="HelveticaNeue-Light" w:eastAsia="HelveticaNeue-Light" w:hAnsi="HelveticaNeue-Light" w:cs="HelveticaNeue-Light" w:hint="default"/>
        <w:color w:val="FFFFFF"/>
        <w:spacing w:val="-17"/>
        <w:w w:val="100"/>
        <w:sz w:val="21"/>
        <w:szCs w:val="21"/>
      </w:rPr>
    </w:lvl>
    <w:lvl w:ilvl="1" w:tplc="3D429934">
      <w:numFmt w:val="bullet"/>
      <w:lvlText w:val="•"/>
      <w:lvlJc w:val="left"/>
      <w:pPr>
        <w:ind w:left="1292" w:hanging="341"/>
      </w:pPr>
      <w:rPr>
        <w:rFonts w:ascii="Helvetica Neue" w:eastAsia="Helvetica Neue" w:hAnsi="Helvetica Neue" w:cs="Helvetica Neue" w:hint="default"/>
        <w:color w:val="303231"/>
        <w:w w:val="142"/>
        <w:sz w:val="20"/>
        <w:szCs w:val="20"/>
      </w:rPr>
    </w:lvl>
    <w:lvl w:ilvl="2" w:tplc="D660C3B0">
      <w:numFmt w:val="bullet"/>
      <w:lvlText w:val="•"/>
      <w:lvlJc w:val="left"/>
      <w:pPr>
        <w:ind w:left="1666" w:hanging="341"/>
      </w:pPr>
      <w:rPr>
        <w:rFonts w:hint="default"/>
      </w:rPr>
    </w:lvl>
    <w:lvl w:ilvl="3" w:tplc="B8FAD5D4">
      <w:numFmt w:val="bullet"/>
      <w:lvlText w:val="•"/>
      <w:lvlJc w:val="left"/>
      <w:pPr>
        <w:ind w:left="2033" w:hanging="341"/>
      </w:pPr>
      <w:rPr>
        <w:rFonts w:hint="default"/>
      </w:rPr>
    </w:lvl>
    <w:lvl w:ilvl="4" w:tplc="D842080C">
      <w:numFmt w:val="bullet"/>
      <w:lvlText w:val="•"/>
      <w:lvlJc w:val="left"/>
      <w:pPr>
        <w:ind w:left="2400" w:hanging="341"/>
      </w:pPr>
      <w:rPr>
        <w:rFonts w:hint="default"/>
      </w:rPr>
    </w:lvl>
    <w:lvl w:ilvl="5" w:tplc="F57C45CE">
      <w:numFmt w:val="bullet"/>
      <w:lvlText w:val="•"/>
      <w:lvlJc w:val="left"/>
      <w:pPr>
        <w:ind w:left="2767" w:hanging="341"/>
      </w:pPr>
      <w:rPr>
        <w:rFonts w:hint="default"/>
      </w:rPr>
    </w:lvl>
    <w:lvl w:ilvl="6" w:tplc="5F386A2C">
      <w:numFmt w:val="bullet"/>
      <w:lvlText w:val="•"/>
      <w:lvlJc w:val="left"/>
      <w:pPr>
        <w:ind w:left="3134" w:hanging="341"/>
      </w:pPr>
      <w:rPr>
        <w:rFonts w:hint="default"/>
      </w:rPr>
    </w:lvl>
    <w:lvl w:ilvl="7" w:tplc="944C93AA">
      <w:numFmt w:val="bullet"/>
      <w:lvlText w:val="•"/>
      <w:lvlJc w:val="left"/>
      <w:pPr>
        <w:ind w:left="3501" w:hanging="341"/>
      </w:pPr>
      <w:rPr>
        <w:rFonts w:hint="default"/>
      </w:rPr>
    </w:lvl>
    <w:lvl w:ilvl="8" w:tplc="88B4CD6E">
      <w:numFmt w:val="bullet"/>
      <w:lvlText w:val="•"/>
      <w:lvlJc w:val="left"/>
      <w:pPr>
        <w:ind w:left="3867" w:hanging="341"/>
      </w:pPr>
      <w:rPr>
        <w:rFonts w:hint="default"/>
      </w:rPr>
    </w:lvl>
  </w:abstractNum>
  <w:abstractNum w:abstractNumId="16">
    <w:nsid w:val="64920F0F"/>
    <w:multiLevelType w:val="hybridMultilevel"/>
    <w:tmpl w:val="A7C6C8F0"/>
    <w:lvl w:ilvl="0" w:tplc="3FC254AC">
      <w:start w:val="4"/>
      <w:numFmt w:val="decimal"/>
      <w:lvlText w:val="%1."/>
      <w:lvlJc w:val="left"/>
      <w:pPr>
        <w:ind w:left="0" w:hanging="135"/>
      </w:pPr>
      <w:rPr>
        <w:rFonts w:ascii="Helvetica Neue" w:eastAsia="Helvetica Neue" w:hAnsi="Helvetica Neue" w:cs="Helvetica Neue" w:hint="default"/>
        <w:i/>
        <w:color w:val="3D3F3F"/>
        <w:spacing w:val="0"/>
        <w:w w:val="84"/>
        <w:sz w:val="14"/>
        <w:szCs w:val="14"/>
      </w:rPr>
    </w:lvl>
    <w:lvl w:ilvl="1" w:tplc="B63838A2">
      <w:numFmt w:val="bullet"/>
      <w:lvlText w:val="•"/>
      <w:lvlJc w:val="left"/>
      <w:pPr>
        <w:ind w:left="937" w:hanging="135"/>
      </w:pPr>
      <w:rPr>
        <w:rFonts w:hint="default"/>
      </w:rPr>
    </w:lvl>
    <w:lvl w:ilvl="2" w:tplc="F35A708A">
      <w:numFmt w:val="bullet"/>
      <w:lvlText w:val="•"/>
      <w:lvlJc w:val="left"/>
      <w:pPr>
        <w:ind w:left="1875" w:hanging="135"/>
      </w:pPr>
      <w:rPr>
        <w:rFonts w:hint="default"/>
      </w:rPr>
    </w:lvl>
    <w:lvl w:ilvl="3" w:tplc="B8341E20">
      <w:numFmt w:val="bullet"/>
      <w:lvlText w:val="•"/>
      <w:lvlJc w:val="left"/>
      <w:pPr>
        <w:ind w:left="2813" w:hanging="135"/>
      </w:pPr>
      <w:rPr>
        <w:rFonts w:hint="default"/>
      </w:rPr>
    </w:lvl>
    <w:lvl w:ilvl="4" w:tplc="13DA0E50">
      <w:numFmt w:val="bullet"/>
      <w:lvlText w:val="•"/>
      <w:lvlJc w:val="left"/>
      <w:pPr>
        <w:ind w:left="3751" w:hanging="135"/>
      </w:pPr>
      <w:rPr>
        <w:rFonts w:hint="default"/>
      </w:rPr>
    </w:lvl>
    <w:lvl w:ilvl="5" w:tplc="654216B4">
      <w:numFmt w:val="bullet"/>
      <w:lvlText w:val="•"/>
      <w:lvlJc w:val="left"/>
      <w:pPr>
        <w:ind w:left="4689" w:hanging="135"/>
      </w:pPr>
      <w:rPr>
        <w:rFonts w:hint="default"/>
      </w:rPr>
    </w:lvl>
    <w:lvl w:ilvl="6" w:tplc="65AE3AB0">
      <w:numFmt w:val="bullet"/>
      <w:lvlText w:val="•"/>
      <w:lvlJc w:val="left"/>
      <w:pPr>
        <w:ind w:left="5626" w:hanging="135"/>
      </w:pPr>
      <w:rPr>
        <w:rFonts w:hint="default"/>
      </w:rPr>
    </w:lvl>
    <w:lvl w:ilvl="7" w:tplc="F912CDEA">
      <w:numFmt w:val="bullet"/>
      <w:lvlText w:val="•"/>
      <w:lvlJc w:val="left"/>
      <w:pPr>
        <w:ind w:left="6564" w:hanging="135"/>
      </w:pPr>
      <w:rPr>
        <w:rFonts w:hint="default"/>
      </w:rPr>
    </w:lvl>
    <w:lvl w:ilvl="8" w:tplc="11B8FF72">
      <w:numFmt w:val="bullet"/>
      <w:lvlText w:val="•"/>
      <w:lvlJc w:val="left"/>
      <w:pPr>
        <w:ind w:left="7502" w:hanging="135"/>
      </w:pPr>
      <w:rPr>
        <w:rFonts w:hint="default"/>
      </w:rPr>
    </w:lvl>
  </w:abstractNum>
  <w:abstractNum w:abstractNumId="17">
    <w:nsid w:val="69791173"/>
    <w:multiLevelType w:val="hybridMultilevel"/>
    <w:tmpl w:val="2B5E2296"/>
    <w:lvl w:ilvl="0" w:tplc="5E7AC144">
      <w:numFmt w:val="bullet"/>
      <w:lvlText w:val="•"/>
      <w:lvlJc w:val="left"/>
      <w:pPr>
        <w:ind w:left="1150" w:hanging="341"/>
      </w:pPr>
      <w:rPr>
        <w:rFonts w:ascii="Helvetica Neue" w:eastAsia="Helvetica Neue" w:hAnsi="Helvetica Neue" w:cs="Helvetica Neue" w:hint="default"/>
        <w:color w:val="303231"/>
        <w:w w:val="142"/>
        <w:sz w:val="20"/>
        <w:szCs w:val="20"/>
      </w:rPr>
    </w:lvl>
    <w:lvl w:ilvl="1" w:tplc="CCDA5AE0">
      <w:numFmt w:val="bullet"/>
      <w:lvlText w:val="•"/>
      <w:lvlJc w:val="left"/>
      <w:pPr>
        <w:ind w:left="1575" w:hanging="341"/>
      </w:pPr>
      <w:rPr>
        <w:rFonts w:hint="default"/>
      </w:rPr>
    </w:lvl>
    <w:lvl w:ilvl="2" w:tplc="D5A6BFB4">
      <w:numFmt w:val="bullet"/>
      <w:lvlText w:val="•"/>
      <w:lvlJc w:val="left"/>
      <w:pPr>
        <w:ind w:left="1991" w:hanging="341"/>
      </w:pPr>
      <w:rPr>
        <w:rFonts w:hint="default"/>
      </w:rPr>
    </w:lvl>
    <w:lvl w:ilvl="3" w:tplc="EE107702">
      <w:numFmt w:val="bullet"/>
      <w:lvlText w:val="•"/>
      <w:lvlJc w:val="left"/>
      <w:pPr>
        <w:ind w:left="2407" w:hanging="341"/>
      </w:pPr>
      <w:rPr>
        <w:rFonts w:hint="default"/>
      </w:rPr>
    </w:lvl>
    <w:lvl w:ilvl="4" w:tplc="068689F0">
      <w:numFmt w:val="bullet"/>
      <w:lvlText w:val="•"/>
      <w:lvlJc w:val="left"/>
      <w:pPr>
        <w:ind w:left="2823" w:hanging="341"/>
      </w:pPr>
      <w:rPr>
        <w:rFonts w:hint="default"/>
      </w:rPr>
    </w:lvl>
    <w:lvl w:ilvl="5" w:tplc="591E6160">
      <w:numFmt w:val="bullet"/>
      <w:lvlText w:val="•"/>
      <w:lvlJc w:val="left"/>
      <w:pPr>
        <w:ind w:left="3239" w:hanging="341"/>
      </w:pPr>
      <w:rPr>
        <w:rFonts w:hint="default"/>
      </w:rPr>
    </w:lvl>
    <w:lvl w:ilvl="6" w:tplc="F77AC59E">
      <w:numFmt w:val="bullet"/>
      <w:lvlText w:val="•"/>
      <w:lvlJc w:val="left"/>
      <w:pPr>
        <w:ind w:left="3654" w:hanging="341"/>
      </w:pPr>
      <w:rPr>
        <w:rFonts w:hint="default"/>
      </w:rPr>
    </w:lvl>
    <w:lvl w:ilvl="7" w:tplc="E8CEBDA8">
      <w:numFmt w:val="bullet"/>
      <w:lvlText w:val="•"/>
      <w:lvlJc w:val="left"/>
      <w:pPr>
        <w:ind w:left="4070" w:hanging="341"/>
      </w:pPr>
      <w:rPr>
        <w:rFonts w:hint="default"/>
      </w:rPr>
    </w:lvl>
    <w:lvl w:ilvl="8" w:tplc="6F767F6A">
      <w:numFmt w:val="bullet"/>
      <w:lvlText w:val="•"/>
      <w:lvlJc w:val="left"/>
      <w:pPr>
        <w:ind w:left="4486" w:hanging="341"/>
      </w:pPr>
      <w:rPr>
        <w:rFonts w:hint="default"/>
      </w:rPr>
    </w:lvl>
  </w:abstractNum>
  <w:abstractNum w:abstractNumId="18">
    <w:nsid w:val="6FF25BF0"/>
    <w:multiLevelType w:val="hybridMultilevel"/>
    <w:tmpl w:val="7FF442C4"/>
    <w:lvl w:ilvl="0" w:tplc="DC400928">
      <w:numFmt w:val="bullet"/>
      <w:lvlText w:val="•"/>
      <w:lvlJc w:val="left"/>
      <w:pPr>
        <w:ind w:left="1172" w:hanging="341"/>
      </w:pPr>
      <w:rPr>
        <w:rFonts w:ascii="Helvetica Neue" w:eastAsia="Helvetica Neue" w:hAnsi="Helvetica Neue" w:cs="Helvetica Neue" w:hint="default"/>
        <w:color w:val="303231"/>
        <w:w w:val="142"/>
        <w:sz w:val="20"/>
        <w:szCs w:val="20"/>
      </w:rPr>
    </w:lvl>
    <w:lvl w:ilvl="1" w:tplc="9F32DEEC">
      <w:numFmt w:val="bullet"/>
      <w:lvlText w:val="•"/>
      <w:lvlJc w:val="left"/>
      <w:pPr>
        <w:ind w:left="1595" w:hanging="341"/>
      </w:pPr>
      <w:rPr>
        <w:rFonts w:hint="default"/>
      </w:rPr>
    </w:lvl>
    <w:lvl w:ilvl="2" w:tplc="958CABA0">
      <w:numFmt w:val="bullet"/>
      <w:lvlText w:val="•"/>
      <w:lvlJc w:val="left"/>
      <w:pPr>
        <w:ind w:left="2011" w:hanging="341"/>
      </w:pPr>
      <w:rPr>
        <w:rFonts w:hint="default"/>
      </w:rPr>
    </w:lvl>
    <w:lvl w:ilvl="3" w:tplc="B9A0E940">
      <w:numFmt w:val="bullet"/>
      <w:lvlText w:val="•"/>
      <w:lvlJc w:val="left"/>
      <w:pPr>
        <w:ind w:left="2427" w:hanging="341"/>
      </w:pPr>
      <w:rPr>
        <w:rFonts w:hint="default"/>
      </w:rPr>
    </w:lvl>
    <w:lvl w:ilvl="4" w:tplc="F3D023D8">
      <w:numFmt w:val="bullet"/>
      <w:lvlText w:val="•"/>
      <w:lvlJc w:val="left"/>
      <w:pPr>
        <w:ind w:left="2843" w:hanging="341"/>
      </w:pPr>
      <w:rPr>
        <w:rFonts w:hint="default"/>
      </w:rPr>
    </w:lvl>
    <w:lvl w:ilvl="5" w:tplc="71DA39C4">
      <w:numFmt w:val="bullet"/>
      <w:lvlText w:val="•"/>
      <w:lvlJc w:val="left"/>
      <w:pPr>
        <w:ind w:left="3259" w:hanging="341"/>
      </w:pPr>
      <w:rPr>
        <w:rFonts w:hint="default"/>
      </w:rPr>
    </w:lvl>
    <w:lvl w:ilvl="6" w:tplc="99F00218">
      <w:numFmt w:val="bullet"/>
      <w:lvlText w:val="•"/>
      <w:lvlJc w:val="left"/>
      <w:pPr>
        <w:ind w:left="3675" w:hanging="341"/>
      </w:pPr>
      <w:rPr>
        <w:rFonts w:hint="default"/>
      </w:rPr>
    </w:lvl>
    <w:lvl w:ilvl="7" w:tplc="A43AAE60">
      <w:numFmt w:val="bullet"/>
      <w:lvlText w:val="•"/>
      <w:lvlJc w:val="left"/>
      <w:pPr>
        <w:ind w:left="4091" w:hanging="341"/>
      </w:pPr>
      <w:rPr>
        <w:rFonts w:hint="default"/>
      </w:rPr>
    </w:lvl>
    <w:lvl w:ilvl="8" w:tplc="4F0AC6F8">
      <w:numFmt w:val="bullet"/>
      <w:lvlText w:val="•"/>
      <w:lvlJc w:val="left"/>
      <w:pPr>
        <w:ind w:left="4507" w:hanging="341"/>
      </w:pPr>
      <w:rPr>
        <w:rFonts w:hint="default"/>
      </w:rPr>
    </w:lvl>
  </w:abstractNum>
  <w:abstractNum w:abstractNumId="19">
    <w:nsid w:val="7735730E"/>
    <w:multiLevelType w:val="hybridMultilevel"/>
    <w:tmpl w:val="851C062C"/>
    <w:lvl w:ilvl="0" w:tplc="367488EE">
      <w:numFmt w:val="bullet"/>
      <w:lvlText w:val="•"/>
      <w:lvlJc w:val="left"/>
      <w:pPr>
        <w:ind w:left="1178" w:hanging="341"/>
      </w:pPr>
      <w:rPr>
        <w:rFonts w:ascii="Helvetica Neue" w:eastAsia="Helvetica Neue" w:hAnsi="Helvetica Neue" w:cs="Helvetica Neue" w:hint="default"/>
        <w:color w:val="303231"/>
        <w:w w:val="142"/>
        <w:sz w:val="20"/>
        <w:szCs w:val="20"/>
      </w:rPr>
    </w:lvl>
    <w:lvl w:ilvl="1" w:tplc="A5E6F84C">
      <w:numFmt w:val="bullet"/>
      <w:lvlText w:val="•"/>
      <w:lvlJc w:val="left"/>
      <w:pPr>
        <w:ind w:left="1596" w:hanging="341"/>
      </w:pPr>
      <w:rPr>
        <w:rFonts w:hint="default"/>
      </w:rPr>
    </w:lvl>
    <w:lvl w:ilvl="2" w:tplc="41F4975A">
      <w:numFmt w:val="bullet"/>
      <w:lvlText w:val="•"/>
      <w:lvlJc w:val="left"/>
      <w:pPr>
        <w:ind w:left="2013" w:hanging="341"/>
      </w:pPr>
      <w:rPr>
        <w:rFonts w:hint="default"/>
      </w:rPr>
    </w:lvl>
    <w:lvl w:ilvl="3" w:tplc="D2E2B52A">
      <w:numFmt w:val="bullet"/>
      <w:lvlText w:val="•"/>
      <w:lvlJc w:val="left"/>
      <w:pPr>
        <w:ind w:left="2429" w:hanging="341"/>
      </w:pPr>
      <w:rPr>
        <w:rFonts w:hint="default"/>
      </w:rPr>
    </w:lvl>
    <w:lvl w:ilvl="4" w:tplc="A678D0C6">
      <w:numFmt w:val="bullet"/>
      <w:lvlText w:val="•"/>
      <w:lvlJc w:val="left"/>
      <w:pPr>
        <w:ind w:left="2846" w:hanging="341"/>
      </w:pPr>
      <w:rPr>
        <w:rFonts w:hint="default"/>
      </w:rPr>
    </w:lvl>
    <w:lvl w:ilvl="5" w:tplc="D2AE0AEE">
      <w:numFmt w:val="bullet"/>
      <w:lvlText w:val="•"/>
      <w:lvlJc w:val="left"/>
      <w:pPr>
        <w:ind w:left="3262" w:hanging="341"/>
      </w:pPr>
      <w:rPr>
        <w:rFonts w:hint="default"/>
      </w:rPr>
    </w:lvl>
    <w:lvl w:ilvl="6" w:tplc="BCC8BB1C">
      <w:numFmt w:val="bullet"/>
      <w:lvlText w:val="•"/>
      <w:lvlJc w:val="left"/>
      <w:pPr>
        <w:ind w:left="3679" w:hanging="341"/>
      </w:pPr>
      <w:rPr>
        <w:rFonts w:hint="default"/>
      </w:rPr>
    </w:lvl>
    <w:lvl w:ilvl="7" w:tplc="9E163488">
      <w:numFmt w:val="bullet"/>
      <w:lvlText w:val="•"/>
      <w:lvlJc w:val="left"/>
      <w:pPr>
        <w:ind w:left="4095" w:hanging="341"/>
      </w:pPr>
      <w:rPr>
        <w:rFonts w:hint="default"/>
      </w:rPr>
    </w:lvl>
    <w:lvl w:ilvl="8" w:tplc="CFA462DE">
      <w:numFmt w:val="bullet"/>
      <w:lvlText w:val="•"/>
      <w:lvlJc w:val="left"/>
      <w:pPr>
        <w:ind w:left="4512" w:hanging="341"/>
      </w:pPr>
      <w:rPr>
        <w:rFonts w:hint="default"/>
      </w:rPr>
    </w:lvl>
  </w:abstractNum>
  <w:abstractNum w:abstractNumId="20">
    <w:nsid w:val="7B6D69A8"/>
    <w:multiLevelType w:val="hybridMultilevel"/>
    <w:tmpl w:val="5022B4E4"/>
    <w:lvl w:ilvl="0" w:tplc="1C50A120">
      <w:numFmt w:val="bullet"/>
      <w:lvlText w:val="•"/>
      <w:lvlJc w:val="left"/>
      <w:pPr>
        <w:ind w:left="1474" w:hanging="341"/>
      </w:pPr>
      <w:rPr>
        <w:rFonts w:ascii="Helvetica Neue" w:eastAsia="Helvetica Neue" w:hAnsi="Helvetica Neue" w:cs="Helvetica Neue" w:hint="default"/>
        <w:color w:val="303231"/>
        <w:w w:val="142"/>
        <w:sz w:val="20"/>
        <w:szCs w:val="20"/>
      </w:rPr>
    </w:lvl>
    <w:lvl w:ilvl="1" w:tplc="FB1AC62A">
      <w:numFmt w:val="bullet"/>
      <w:lvlText w:val="•"/>
      <w:lvlJc w:val="left"/>
      <w:pPr>
        <w:ind w:left="1882" w:hanging="341"/>
      </w:pPr>
      <w:rPr>
        <w:rFonts w:hint="default"/>
      </w:rPr>
    </w:lvl>
    <w:lvl w:ilvl="2" w:tplc="E16475A0">
      <w:numFmt w:val="bullet"/>
      <w:lvlText w:val="•"/>
      <w:lvlJc w:val="left"/>
      <w:pPr>
        <w:ind w:left="2285" w:hanging="341"/>
      </w:pPr>
      <w:rPr>
        <w:rFonts w:hint="default"/>
      </w:rPr>
    </w:lvl>
    <w:lvl w:ilvl="3" w:tplc="FB5C86AE">
      <w:numFmt w:val="bullet"/>
      <w:lvlText w:val="•"/>
      <w:lvlJc w:val="left"/>
      <w:pPr>
        <w:ind w:left="2687" w:hanging="341"/>
      </w:pPr>
      <w:rPr>
        <w:rFonts w:hint="default"/>
      </w:rPr>
    </w:lvl>
    <w:lvl w:ilvl="4" w:tplc="50507196">
      <w:numFmt w:val="bullet"/>
      <w:lvlText w:val="•"/>
      <w:lvlJc w:val="left"/>
      <w:pPr>
        <w:ind w:left="3090" w:hanging="341"/>
      </w:pPr>
      <w:rPr>
        <w:rFonts w:hint="default"/>
      </w:rPr>
    </w:lvl>
    <w:lvl w:ilvl="5" w:tplc="0C9AD3CA">
      <w:numFmt w:val="bullet"/>
      <w:lvlText w:val="•"/>
      <w:lvlJc w:val="left"/>
      <w:pPr>
        <w:ind w:left="3493" w:hanging="341"/>
      </w:pPr>
      <w:rPr>
        <w:rFonts w:hint="default"/>
      </w:rPr>
    </w:lvl>
    <w:lvl w:ilvl="6" w:tplc="898659FC">
      <w:numFmt w:val="bullet"/>
      <w:lvlText w:val="•"/>
      <w:lvlJc w:val="left"/>
      <w:pPr>
        <w:ind w:left="3895" w:hanging="341"/>
      </w:pPr>
      <w:rPr>
        <w:rFonts w:hint="default"/>
      </w:rPr>
    </w:lvl>
    <w:lvl w:ilvl="7" w:tplc="B1B61662">
      <w:numFmt w:val="bullet"/>
      <w:lvlText w:val="•"/>
      <w:lvlJc w:val="left"/>
      <w:pPr>
        <w:ind w:left="4298" w:hanging="341"/>
      </w:pPr>
      <w:rPr>
        <w:rFonts w:hint="default"/>
      </w:rPr>
    </w:lvl>
    <w:lvl w:ilvl="8" w:tplc="0A8C1C7A">
      <w:numFmt w:val="bullet"/>
      <w:lvlText w:val="•"/>
      <w:lvlJc w:val="left"/>
      <w:pPr>
        <w:ind w:left="4700" w:hanging="341"/>
      </w:pPr>
      <w:rPr>
        <w:rFonts w:hint="default"/>
      </w:rPr>
    </w:lvl>
  </w:abstractNum>
  <w:num w:numId="1">
    <w:abstractNumId w:val="6"/>
  </w:num>
  <w:num w:numId="2">
    <w:abstractNumId w:val="20"/>
  </w:num>
  <w:num w:numId="3">
    <w:abstractNumId w:val="15"/>
  </w:num>
  <w:num w:numId="4">
    <w:abstractNumId w:val="13"/>
  </w:num>
  <w:num w:numId="5">
    <w:abstractNumId w:val="17"/>
  </w:num>
  <w:num w:numId="6">
    <w:abstractNumId w:val="12"/>
  </w:num>
  <w:num w:numId="7">
    <w:abstractNumId w:val="1"/>
  </w:num>
  <w:num w:numId="8">
    <w:abstractNumId w:val="18"/>
  </w:num>
  <w:num w:numId="9">
    <w:abstractNumId w:val="16"/>
  </w:num>
  <w:num w:numId="10">
    <w:abstractNumId w:val="7"/>
  </w:num>
  <w:num w:numId="11">
    <w:abstractNumId w:val="19"/>
  </w:num>
  <w:num w:numId="12">
    <w:abstractNumId w:val="3"/>
  </w:num>
  <w:num w:numId="13">
    <w:abstractNumId w:val="2"/>
  </w:num>
  <w:num w:numId="14">
    <w:abstractNumId w:val="11"/>
  </w:num>
  <w:num w:numId="15">
    <w:abstractNumId w:val="9"/>
  </w:num>
  <w:num w:numId="16">
    <w:abstractNumId w:val="5"/>
  </w:num>
  <w:num w:numId="17">
    <w:abstractNumId w:val="8"/>
  </w:num>
  <w:num w:numId="18">
    <w:abstractNumId w:val="4"/>
  </w:num>
  <w:num w:numId="19">
    <w:abstractNumId w:val="0"/>
  </w:num>
  <w:num w:numId="20">
    <w:abstractNumId w:val="9"/>
  </w:num>
  <w:num w:numId="21">
    <w:abstractNumId w:val="5"/>
  </w:num>
  <w:num w:numId="22">
    <w:abstractNumId w:val="8"/>
  </w:num>
  <w:num w:numId="23">
    <w:abstractNumId w:val="4"/>
  </w:num>
  <w:num w:numId="24">
    <w:abstractNumId w:val="0"/>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
  <w:rsids>
    <w:rsidRoot w:val="007A01BD"/>
    <w:rsid w:val="001B0147"/>
    <w:rsid w:val="001B1926"/>
    <w:rsid w:val="001D0A95"/>
    <w:rsid w:val="002255D5"/>
    <w:rsid w:val="002B2DBB"/>
    <w:rsid w:val="003D5081"/>
    <w:rsid w:val="003F6306"/>
    <w:rsid w:val="00412857"/>
    <w:rsid w:val="004656BE"/>
    <w:rsid w:val="004C54B2"/>
    <w:rsid w:val="004F0808"/>
    <w:rsid w:val="0052519A"/>
    <w:rsid w:val="00540D7A"/>
    <w:rsid w:val="005E2801"/>
    <w:rsid w:val="00634352"/>
    <w:rsid w:val="007A01BD"/>
    <w:rsid w:val="00803831"/>
    <w:rsid w:val="00826DAE"/>
    <w:rsid w:val="00835EB1"/>
    <w:rsid w:val="008A1207"/>
    <w:rsid w:val="00A97767"/>
    <w:rsid w:val="00AD4FF4"/>
    <w:rsid w:val="00B016EC"/>
    <w:rsid w:val="00C522E6"/>
    <w:rsid w:val="00C74A3D"/>
    <w:rsid w:val="00C95C0B"/>
    <w:rsid w:val="00CD1DDC"/>
    <w:rsid w:val="00D0626E"/>
    <w:rsid w:val="00D31A6D"/>
    <w:rsid w:val="00D31FB8"/>
    <w:rsid w:val="00DF01C3"/>
    <w:rsid w:val="00E02A7B"/>
    <w:rsid w:val="00E93D39"/>
    <w:rsid w:val="00EA3248"/>
    <w:rsid w:val="00F16EC5"/>
    <w:rsid w:val="00F20AFE"/>
    <w:rsid w:val="00F324F0"/>
    <w:rsid w:val="00F601A7"/>
    <w:rsid w:val="00F82531"/>
    <w:rsid w:val="00FB2DB6"/>
    <w:rsid w:val="00FB6950"/>
    <w:rsid w:val="00FD2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HAns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47"/>
    <w:pPr>
      <w:spacing w:before="170"/>
    </w:pPr>
    <w:rPr>
      <w:rFonts w:eastAsia="Helvetica Neue"/>
      <w:sz w:val="22"/>
    </w:rPr>
  </w:style>
  <w:style w:type="paragraph" w:styleId="Heading1">
    <w:name w:val="heading 1"/>
    <w:basedOn w:val="Normal"/>
    <w:next w:val="Normal"/>
    <w:link w:val="Heading1Char"/>
    <w:uiPriority w:val="2"/>
    <w:qFormat/>
    <w:rsid w:val="001B0147"/>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1B0147"/>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1B0147"/>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1B0147"/>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1B0147"/>
    <w:pPr>
      <w:keepNext/>
      <w:keepLines/>
      <w:spacing w:before="4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1B0147"/>
    <w:pPr>
      <w:keepNext/>
      <w:keepLines/>
      <w:spacing w:before="4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1B0147"/>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1B014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01"/>
      <w:ind w:left="114"/>
    </w:pPr>
    <w:rPr>
      <w:rFonts w:ascii="HelveticaNeue-Medium" w:eastAsia="HelveticaNeue-Medium" w:hAnsi="HelveticaNeue-Medium" w:cs="HelveticaNeue-Medium"/>
      <w:sz w:val="19"/>
      <w:szCs w:val="19"/>
    </w:rPr>
  </w:style>
  <w:style w:type="paragraph" w:styleId="TOC2">
    <w:name w:val="toc 2"/>
    <w:basedOn w:val="Normal"/>
    <w:uiPriority w:val="39"/>
    <w:pPr>
      <w:spacing w:before="106"/>
      <w:ind w:left="681"/>
    </w:pPr>
    <w:rPr>
      <w:rFonts w:ascii="Helvetica Neue" w:hAnsi="Helvetica Neue" w:cs="Helvetica Neue"/>
      <w:sz w:val="19"/>
      <w:szCs w:val="19"/>
    </w:rPr>
  </w:style>
  <w:style w:type="paragraph" w:styleId="TOC3">
    <w:name w:val="toc 3"/>
    <w:basedOn w:val="Normal"/>
    <w:uiPriority w:val="1"/>
    <w:pPr>
      <w:spacing w:before="105"/>
      <w:ind w:left="681"/>
    </w:pPr>
    <w:rPr>
      <w:rFonts w:ascii="Helvetica Neue" w:hAnsi="Helvetica Neue" w:cs="Helvetica Neue"/>
      <w:b/>
      <w:bCs/>
      <w:i/>
    </w:rPr>
  </w:style>
  <w:style w:type="paragraph" w:styleId="BodyText">
    <w:name w:val="Body Text"/>
    <w:basedOn w:val="Normal"/>
    <w:uiPriority w:val="1"/>
    <w:rPr>
      <w:rFonts w:ascii="Helvetica Neue" w:hAnsi="Helvetica Neue" w:cs="Helvetica Neue"/>
      <w:sz w:val="20"/>
    </w:rPr>
  </w:style>
  <w:style w:type="paragraph" w:styleId="ListParagraph">
    <w:name w:val="List Paragraph"/>
    <w:basedOn w:val="Normal"/>
    <w:uiPriority w:val="34"/>
    <w:qFormat/>
    <w:rsid w:val="001B0147"/>
    <w:pPr>
      <w:ind w:left="720"/>
      <w:contextualSpacing/>
    </w:pPr>
  </w:style>
  <w:style w:type="paragraph" w:customStyle="1" w:styleId="TableParagraph">
    <w:name w:val="Table Paragraph"/>
    <w:basedOn w:val="Normal"/>
    <w:uiPriority w:val="1"/>
    <w:rPr>
      <w:rFonts w:ascii="HelveticaNeue-Light" w:eastAsia="HelveticaNeue-Light" w:hAnsi="HelveticaNeue-Light" w:cs="HelveticaNeue-Light"/>
    </w:rPr>
  </w:style>
  <w:style w:type="paragraph" w:customStyle="1" w:styleId="TextIndent1">
    <w:name w:val="Text Indent 1"/>
    <w:basedOn w:val="Normal"/>
    <w:autoRedefine/>
    <w:uiPriority w:val="1"/>
    <w:qFormat/>
    <w:rsid w:val="001B0147"/>
    <w:pPr>
      <w:ind w:left="340"/>
    </w:pPr>
    <w:rPr>
      <w:rFonts w:eastAsia="Times New Roman"/>
    </w:rPr>
  </w:style>
  <w:style w:type="paragraph" w:customStyle="1" w:styleId="TextIndent2">
    <w:name w:val="Text Indent 2"/>
    <w:basedOn w:val="TextIndent1"/>
    <w:next w:val="TextIndent1"/>
    <w:uiPriority w:val="1"/>
    <w:qFormat/>
    <w:rsid w:val="001B0147"/>
    <w:pPr>
      <w:ind w:left="680"/>
    </w:pPr>
  </w:style>
  <w:style w:type="paragraph" w:customStyle="1" w:styleId="Bullets">
    <w:name w:val="Bullets"/>
    <w:basedOn w:val="Normal"/>
    <w:uiPriority w:val="3"/>
    <w:qFormat/>
    <w:rsid w:val="001B0147"/>
    <w:pPr>
      <w:numPr>
        <w:numId w:val="20"/>
      </w:numPr>
      <w:spacing w:before="40" w:after="40"/>
    </w:pPr>
    <w:rPr>
      <w:rFonts w:eastAsia="Times New Roman"/>
    </w:rPr>
  </w:style>
  <w:style w:type="paragraph" w:customStyle="1" w:styleId="BulletsIndent">
    <w:name w:val="Bullets Indent"/>
    <w:basedOn w:val="Bullets"/>
    <w:uiPriority w:val="3"/>
    <w:qFormat/>
    <w:rsid w:val="001B0147"/>
    <w:pPr>
      <w:numPr>
        <w:numId w:val="21"/>
      </w:numPr>
    </w:pPr>
  </w:style>
  <w:style w:type="paragraph" w:customStyle="1" w:styleId="Title2">
    <w:name w:val="Title 2"/>
    <w:basedOn w:val="Title"/>
    <w:next w:val="Normal"/>
    <w:uiPriority w:val="2"/>
    <w:qFormat/>
    <w:rsid w:val="001B0147"/>
    <w:rPr>
      <w:sz w:val="40"/>
    </w:rPr>
  </w:style>
  <w:style w:type="paragraph" w:styleId="Title">
    <w:name w:val="Title"/>
    <w:basedOn w:val="Normal"/>
    <w:next w:val="Normal"/>
    <w:link w:val="TitleChar"/>
    <w:uiPriority w:val="2"/>
    <w:qFormat/>
    <w:rsid w:val="001B0147"/>
    <w:pPr>
      <w:spacing w:before="227" w:after="227"/>
      <w:contextualSpacing/>
    </w:pPr>
    <w:rPr>
      <w:rFonts w:eastAsiaTheme="majorEastAsia"/>
      <w:b/>
      <w:color w:val="4F81BD" w:themeColor="accent1"/>
      <w:spacing w:val="-10"/>
      <w:kern w:val="28"/>
      <w:sz w:val="56"/>
      <w:szCs w:val="56"/>
    </w:rPr>
  </w:style>
  <w:style w:type="character" w:customStyle="1" w:styleId="TitleChar">
    <w:name w:val="Title Char"/>
    <w:basedOn w:val="DefaultParagraphFont"/>
    <w:link w:val="Title"/>
    <w:uiPriority w:val="2"/>
    <w:rsid w:val="001B0147"/>
    <w:rPr>
      <w:rFonts w:eastAsiaTheme="majorEastAsia"/>
      <w:b/>
      <w:color w:val="4F81BD" w:themeColor="accent1"/>
      <w:spacing w:val="-10"/>
      <w:kern w:val="28"/>
      <w:sz w:val="56"/>
      <w:szCs w:val="56"/>
    </w:rPr>
  </w:style>
  <w:style w:type="paragraph" w:customStyle="1" w:styleId="NumberedList">
    <w:name w:val="Numbered List"/>
    <w:basedOn w:val="Bullets"/>
    <w:uiPriority w:val="3"/>
    <w:qFormat/>
    <w:rsid w:val="001B0147"/>
    <w:pPr>
      <w:numPr>
        <w:numId w:val="22"/>
      </w:numPr>
    </w:pPr>
  </w:style>
  <w:style w:type="paragraph" w:customStyle="1" w:styleId="TableHeader">
    <w:name w:val="Table Header"/>
    <w:basedOn w:val="Normal"/>
    <w:uiPriority w:val="4"/>
    <w:qFormat/>
    <w:rsid w:val="001B0147"/>
    <w:pPr>
      <w:spacing w:before="0"/>
    </w:pPr>
    <w:rPr>
      <w:rFonts w:eastAsia="Times New Roman"/>
      <w:b/>
      <w:color w:val="FFFFFF" w:themeColor="background1"/>
      <w:sz w:val="21"/>
    </w:rPr>
  </w:style>
  <w:style w:type="paragraph" w:customStyle="1" w:styleId="TableSubhead">
    <w:name w:val="Table Sub head"/>
    <w:basedOn w:val="TableHeader"/>
    <w:uiPriority w:val="4"/>
    <w:qFormat/>
    <w:rsid w:val="001B0147"/>
  </w:style>
  <w:style w:type="paragraph" w:customStyle="1" w:styleId="CCYPText">
    <w:name w:val="CCYP Text"/>
    <w:basedOn w:val="Normal"/>
    <w:uiPriority w:val="9"/>
    <w:semiHidden/>
    <w:unhideWhenUsed/>
    <w:qFormat/>
    <w:rsid w:val="001B0147"/>
    <w:rPr>
      <w:rFonts w:eastAsia="Times New Roman"/>
    </w:rPr>
  </w:style>
  <w:style w:type="paragraph" w:customStyle="1" w:styleId="TableText">
    <w:name w:val="Table Text"/>
    <w:basedOn w:val="Normal"/>
    <w:uiPriority w:val="4"/>
    <w:qFormat/>
    <w:rsid w:val="001B0147"/>
    <w:pPr>
      <w:spacing w:before="0"/>
    </w:pPr>
    <w:rPr>
      <w:rFonts w:eastAsia="Times New Roman"/>
    </w:rPr>
  </w:style>
  <w:style w:type="paragraph" w:customStyle="1" w:styleId="TableTextBold">
    <w:name w:val="Table Text Bold"/>
    <w:basedOn w:val="TableText"/>
    <w:uiPriority w:val="4"/>
    <w:qFormat/>
    <w:rsid w:val="001B0147"/>
    <w:rPr>
      <w:b/>
      <w:bCs/>
    </w:rPr>
  </w:style>
  <w:style w:type="paragraph" w:customStyle="1" w:styleId="NumberedListIndent">
    <w:name w:val="Numbered List Indent"/>
    <w:basedOn w:val="BulletsIndent"/>
    <w:uiPriority w:val="3"/>
    <w:qFormat/>
    <w:rsid w:val="001B0147"/>
    <w:pPr>
      <w:numPr>
        <w:numId w:val="23"/>
      </w:numPr>
    </w:pPr>
  </w:style>
  <w:style w:type="paragraph" w:customStyle="1" w:styleId="TableTextInfo">
    <w:name w:val="Table Text Info"/>
    <w:basedOn w:val="CCYPText"/>
    <w:uiPriority w:val="4"/>
    <w:qFormat/>
    <w:rsid w:val="001B0147"/>
    <w:pPr>
      <w:spacing w:before="0"/>
      <w:jc w:val="center"/>
    </w:pPr>
    <w:rPr>
      <w:color w:val="262626" w:themeColor="text1" w:themeTint="D9"/>
      <w:sz w:val="14"/>
    </w:rPr>
  </w:style>
  <w:style w:type="paragraph" w:customStyle="1" w:styleId="NumberedHeading">
    <w:name w:val="Numbered Heading"/>
    <w:basedOn w:val="Heading1"/>
    <w:uiPriority w:val="2"/>
    <w:qFormat/>
    <w:rsid w:val="001B0147"/>
    <w:pPr>
      <w:numPr>
        <w:numId w:val="24"/>
      </w:numPr>
      <w:spacing w:before="160" w:after="160"/>
    </w:pPr>
    <w:rPr>
      <w:color w:val="auto"/>
    </w:rPr>
  </w:style>
  <w:style w:type="character" w:customStyle="1" w:styleId="Heading1Char">
    <w:name w:val="Heading 1 Char"/>
    <w:basedOn w:val="DefaultParagraphFont"/>
    <w:link w:val="Heading1"/>
    <w:uiPriority w:val="2"/>
    <w:locked/>
    <w:rsid w:val="001B0147"/>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1B0147"/>
    <w:rPr>
      <w:rFonts w:eastAsiaTheme="majorEastAsia"/>
      <w:b/>
      <w:sz w:val="24"/>
      <w:szCs w:val="26"/>
    </w:rPr>
  </w:style>
  <w:style w:type="character" w:customStyle="1" w:styleId="Heading3Char">
    <w:name w:val="Heading 3 Char"/>
    <w:basedOn w:val="DefaultParagraphFont"/>
    <w:link w:val="Heading3"/>
    <w:uiPriority w:val="2"/>
    <w:locked/>
    <w:rsid w:val="001B0147"/>
    <w:rPr>
      <w:rFonts w:eastAsiaTheme="majorEastAsia"/>
      <w:b/>
    </w:rPr>
  </w:style>
  <w:style w:type="character" w:customStyle="1" w:styleId="Heading4Char">
    <w:name w:val="Heading 4 Char"/>
    <w:basedOn w:val="DefaultParagraphFont"/>
    <w:link w:val="Heading4"/>
    <w:uiPriority w:val="2"/>
    <w:locked/>
    <w:rsid w:val="001B0147"/>
    <w:rPr>
      <w:rFonts w:eastAsiaTheme="majorEastAsia"/>
      <w:b/>
      <w:i/>
      <w:iCs/>
    </w:rPr>
  </w:style>
  <w:style w:type="character" w:customStyle="1" w:styleId="Heading5Char">
    <w:name w:val="Heading 5 Char"/>
    <w:basedOn w:val="DefaultParagraphFont"/>
    <w:link w:val="Heading5"/>
    <w:uiPriority w:val="9"/>
    <w:rsid w:val="001B014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B014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B01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147"/>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1B014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1B0147"/>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5"/>
    <w:qFormat/>
    <w:rsid w:val="001B0147"/>
    <w:rPr>
      <w:b/>
      <w:bCs/>
    </w:rPr>
  </w:style>
  <w:style w:type="character" w:styleId="Emphasis">
    <w:name w:val="Emphasis"/>
    <w:basedOn w:val="DefaultParagraphFont"/>
    <w:uiPriority w:val="5"/>
    <w:qFormat/>
    <w:rsid w:val="001B0147"/>
    <w:rPr>
      <w:i/>
      <w:iCs/>
    </w:rPr>
  </w:style>
  <w:style w:type="paragraph" w:styleId="NoSpacing">
    <w:name w:val="No Spacing"/>
    <w:uiPriority w:val="9"/>
    <w:qFormat/>
    <w:rsid w:val="001B0147"/>
  </w:style>
  <w:style w:type="paragraph" w:styleId="Quote">
    <w:name w:val="Quote"/>
    <w:basedOn w:val="Normal"/>
    <w:next w:val="Normal"/>
    <w:link w:val="QuoteChar"/>
    <w:uiPriority w:val="5"/>
    <w:qFormat/>
    <w:rsid w:val="001B0147"/>
    <w:rPr>
      <w:rFonts w:eastAsia="Times New Roman"/>
      <w:i/>
      <w:iCs/>
      <w:color w:val="000000" w:themeColor="text1"/>
      <w:sz w:val="20"/>
    </w:rPr>
  </w:style>
  <w:style w:type="character" w:customStyle="1" w:styleId="QuoteChar">
    <w:name w:val="Quote Char"/>
    <w:basedOn w:val="DefaultParagraphFont"/>
    <w:link w:val="Quote"/>
    <w:uiPriority w:val="5"/>
    <w:rsid w:val="001B0147"/>
    <w:rPr>
      <w:i/>
      <w:iCs/>
      <w:color w:val="000000" w:themeColor="text1"/>
    </w:rPr>
  </w:style>
  <w:style w:type="paragraph" w:styleId="IntenseQuote">
    <w:name w:val="Intense Quote"/>
    <w:basedOn w:val="Normal"/>
    <w:next w:val="Normal"/>
    <w:link w:val="IntenseQuoteChar"/>
    <w:uiPriority w:val="5"/>
    <w:qFormat/>
    <w:rsid w:val="001B0147"/>
    <w:pPr>
      <w:pBdr>
        <w:bottom w:val="single" w:sz="4" w:space="4" w:color="4F81BD" w:themeColor="accent1"/>
      </w:pBdr>
      <w:spacing w:before="200" w:after="280"/>
      <w:ind w:left="936" w:right="936"/>
    </w:pPr>
    <w:rPr>
      <w:rFonts w:eastAsia="Times New Roman"/>
      <w:b/>
      <w:bCs/>
      <w:i/>
      <w:iCs/>
      <w:color w:val="4F81BD" w:themeColor="accent1"/>
      <w:sz w:val="20"/>
    </w:rPr>
  </w:style>
  <w:style w:type="character" w:customStyle="1" w:styleId="IntenseQuoteChar">
    <w:name w:val="Intense Quote Char"/>
    <w:basedOn w:val="DefaultParagraphFont"/>
    <w:link w:val="IntenseQuote"/>
    <w:uiPriority w:val="5"/>
    <w:rsid w:val="001B0147"/>
    <w:rPr>
      <w:b/>
      <w:bCs/>
      <w:i/>
      <w:iCs/>
      <w:color w:val="4F81BD" w:themeColor="accent1"/>
    </w:rPr>
  </w:style>
  <w:style w:type="character" w:styleId="SubtleEmphasis">
    <w:name w:val="Subtle Emphasis"/>
    <w:basedOn w:val="DefaultParagraphFont"/>
    <w:uiPriority w:val="5"/>
    <w:qFormat/>
    <w:rsid w:val="001B0147"/>
    <w:rPr>
      <w:i/>
      <w:iCs/>
      <w:color w:val="808080" w:themeColor="text1" w:themeTint="7F"/>
    </w:rPr>
  </w:style>
  <w:style w:type="character" w:styleId="IntenseEmphasis">
    <w:name w:val="Intense Emphasis"/>
    <w:basedOn w:val="DefaultParagraphFont"/>
    <w:uiPriority w:val="5"/>
    <w:qFormat/>
    <w:rsid w:val="001B0147"/>
    <w:rPr>
      <w:b/>
      <w:bCs/>
      <w:i/>
      <w:iCs/>
      <w:color w:val="4F81BD" w:themeColor="accent1"/>
    </w:rPr>
  </w:style>
  <w:style w:type="character" w:styleId="SubtleReference">
    <w:name w:val="Subtle Reference"/>
    <w:basedOn w:val="DefaultParagraphFont"/>
    <w:uiPriority w:val="31"/>
    <w:qFormat/>
    <w:rsid w:val="001B0147"/>
    <w:rPr>
      <w:smallCaps/>
      <w:color w:val="C0504D" w:themeColor="accent2"/>
      <w:u w:val="single"/>
    </w:rPr>
  </w:style>
  <w:style w:type="character" w:styleId="IntenseReference">
    <w:name w:val="Intense Reference"/>
    <w:basedOn w:val="DefaultParagraphFont"/>
    <w:uiPriority w:val="32"/>
    <w:qFormat/>
    <w:rsid w:val="001B0147"/>
    <w:rPr>
      <w:b/>
      <w:bCs/>
      <w:smallCaps/>
      <w:color w:val="C0504D" w:themeColor="accent2"/>
      <w:spacing w:val="5"/>
      <w:u w:val="single"/>
    </w:rPr>
  </w:style>
  <w:style w:type="character" w:styleId="BookTitle">
    <w:name w:val="Book Title"/>
    <w:basedOn w:val="DefaultParagraphFont"/>
    <w:uiPriority w:val="33"/>
    <w:qFormat/>
    <w:rsid w:val="001B0147"/>
    <w:rPr>
      <w:b/>
      <w:bCs/>
      <w:smallCaps/>
      <w:spacing w:val="5"/>
    </w:rPr>
  </w:style>
  <w:style w:type="paragraph" w:styleId="BalloonText">
    <w:name w:val="Balloon Text"/>
    <w:basedOn w:val="Normal"/>
    <w:link w:val="BalloonTextChar"/>
    <w:uiPriority w:val="99"/>
    <w:semiHidden/>
    <w:unhideWhenUsed/>
    <w:rsid w:val="001B014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47"/>
    <w:rPr>
      <w:rFonts w:ascii="Tahoma" w:eastAsia="Helvetica Neue" w:hAnsi="Tahoma" w:cs="Tahoma"/>
      <w:sz w:val="16"/>
      <w:szCs w:val="16"/>
    </w:rPr>
  </w:style>
  <w:style w:type="character" w:styleId="Hyperlink">
    <w:name w:val="Hyperlink"/>
    <w:basedOn w:val="DefaultParagraphFont"/>
    <w:uiPriority w:val="99"/>
    <w:unhideWhenUsed/>
    <w:rsid w:val="003F6306"/>
    <w:rPr>
      <w:color w:val="0000FF" w:themeColor="hyperlink"/>
      <w:u w:val="single"/>
    </w:rPr>
  </w:style>
  <w:style w:type="table" w:styleId="TableGrid">
    <w:name w:val="Table Grid"/>
    <w:basedOn w:val="TableNormal"/>
    <w:uiPriority w:val="59"/>
    <w:rsid w:val="00E9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93D39"/>
    <w:pPr>
      <w:spacing w:before="0" w:after="200"/>
    </w:pPr>
    <w:rPr>
      <w:rFonts w:eastAsia="Times New Roman"/>
      <w:b/>
      <w:bCs/>
      <w:color w:val="4F81BD" w:themeColor="accent1"/>
      <w:sz w:val="18"/>
      <w:szCs w:val="18"/>
      <w:lang w:val="en-AU"/>
    </w:rPr>
  </w:style>
  <w:style w:type="table" w:styleId="LightList-Accent1">
    <w:name w:val="Light List Accent 1"/>
    <w:basedOn w:val="TableNormal"/>
    <w:uiPriority w:val="61"/>
    <w:rsid w:val="00E93D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aliases w:val="Annual Report Footnote Text"/>
    <w:basedOn w:val="Normal"/>
    <w:link w:val="FootnoteTextChar"/>
    <w:uiPriority w:val="99"/>
    <w:unhideWhenUsed/>
    <w:rsid w:val="00634352"/>
    <w:pPr>
      <w:spacing w:before="0"/>
    </w:pPr>
    <w:rPr>
      <w:sz w:val="20"/>
    </w:rPr>
  </w:style>
  <w:style w:type="character" w:customStyle="1" w:styleId="FootnoteTextChar">
    <w:name w:val="Footnote Text Char"/>
    <w:aliases w:val="Annual Report Footnote Text Char"/>
    <w:basedOn w:val="DefaultParagraphFont"/>
    <w:link w:val="FootnoteText"/>
    <w:uiPriority w:val="99"/>
    <w:rsid w:val="00634352"/>
    <w:rPr>
      <w:rFonts w:eastAsia="Helvetica Neue"/>
    </w:rPr>
  </w:style>
  <w:style w:type="character" w:styleId="FootnoteReference">
    <w:name w:val="footnote reference"/>
    <w:basedOn w:val="DefaultParagraphFont"/>
    <w:uiPriority w:val="99"/>
    <w:unhideWhenUsed/>
    <w:rsid w:val="00634352"/>
    <w:rPr>
      <w:vertAlign w:val="superscript"/>
    </w:rPr>
  </w:style>
  <w:style w:type="table" w:customStyle="1" w:styleId="LightList-Accent11">
    <w:name w:val="Light List - Accent 11"/>
    <w:basedOn w:val="TableNormal"/>
    <w:next w:val="LightList-Accent1"/>
    <w:uiPriority w:val="61"/>
    <w:rsid w:val="001D0A95"/>
    <w:rPr>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TFTable">
    <w:name w:val="DTF Table"/>
    <w:basedOn w:val="TableNormal"/>
    <w:uiPriority w:val="99"/>
    <w:rsid w:val="00FD2369"/>
    <w:pPr>
      <w:spacing w:before="20" w:after="20"/>
      <w:jc w:val="right"/>
    </w:pPr>
    <w:rPr>
      <w:rFonts w:asciiTheme="majorHAnsi" w:eastAsiaTheme="minorHAnsi" w:hAnsiTheme="majorHAnsi" w:cstheme="minorBidi"/>
      <w:sz w:val="17"/>
      <w:szCs w:val="22"/>
      <w:lang w:val="en-AU"/>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EECE1" w:themeFill="background2"/>
      </w:tcPr>
    </w:tblStylePr>
    <w:tblStylePr w:type="band1Horz">
      <w:tblPr/>
      <w:tcPr>
        <w:shd w:val="clear" w:color="auto" w:fill="EEECE1" w:themeFill="background2"/>
      </w:tcPr>
    </w:tblStylePr>
    <w:tblStylePr w:type="band2Horz">
      <w:tblPr/>
      <w:tcPr>
        <w:shd w:val="clear" w:color="auto" w:fill="FFFFFF" w:themeFill="background1"/>
      </w:tcPr>
    </w:tblStylePr>
  </w:style>
  <w:style w:type="table" w:customStyle="1" w:styleId="TableGrid1">
    <w:name w:val="Table Grid1"/>
    <w:basedOn w:val="TableNormal"/>
    <w:next w:val="TableGrid"/>
    <w:uiPriority w:val="59"/>
    <w:rsid w:val="00F601A7"/>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FinancialTable">
    <w:name w:val="DTF Financial Table"/>
    <w:basedOn w:val="TableNormal"/>
    <w:uiPriority w:val="99"/>
    <w:rsid w:val="00DF01C3"/>
    <w:pPr>
      <w:spacing w:before="20" w:after="20"/>
    </w:pPr>
    <w:rPr>
      <w:rFonts w:eastAsiaTheme="minorHAnsi" w:cstheme="minorBidi"/>
      <w:spacing w:val="2"/>
      <w:sz w:val="16"/>
      <w:lang w:val="en-AU"/>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60" w:beforeAutospacing="0" w:afterLines="0" w:after="60" w:afterAutospacing="0" w:line="240" w:lineRule="auto"/>
      </w:pPr>
      <w:rPr>
        <w:b w:val="0"/>
        <w:i w:val="0"/>
        <w:color w:val="FFFFFF" w:themeColor="background1"/>
        <w:sz w:val="16"/>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paragraph" w:styleId="TableofFigures">
    <w:name w:val="table of figures"/>
    <w:basedOn w:val="Normal"/>
    <w:next w:val="Normal"/>
    <w:uiPriority w:val="99"/>
    <w:unhideWhenUsed/>
    <w:rsid w:val="00C95C0B"/>
  </w:style>
  <w:style w:type="paragraph" w:styleId="Header">
    <w:name w:val="header"/>
    <w:basedOn w:val="Normal"/>
    <w:link w:val="HeaderChar"/>
    <w:uiPriority w:val="99"/>
    <w:unhideWhenUsed/>
    <w:rsid w:val="00C95C0B"/>
    <w:pPr>
      <w:tabs>
        <w:tab w:val="center" w:pos="4513"/>
        <w:tab w:val="right" w:pos="9026"/>
      </w:tabs>
      <w:spacing w:before="0"/>
    </w:pPr>
  </w:style>
  <w:style w:type="character" w:customStyle="1" w:styleId="HeaderChar">
    <w:name w:val="Header Char"/>
    <w:basedOn w:val="DefaultParagraphFont"/>
    <w:link w:val="Header"/>
    <w:uiPriority w:val="99"/>
    <w:rsid w:val="00C95C0B"/>
    <w:rPr>
      <w:rFonts w:eastAsia="Helvetica Neue"/>
      <w:sz w:val="22"/>
    </w:rPr>
  </w:style>
  <w:style w:type="paragraph" w:styleId="Footer">
    <w:name w:val="footer"/>
    <w:basedOn w:val="Normal"/>
    <w:link w:val="FooterChar"/>
    <w:uiPriority w:val="99"/>
    <w:unhideWhenUsed/>
    <w:rsid w:val="00C95C0B"/>
    <w:pPr>
      <w:tabs>
        <w:tab w:val="center" w:pos="4513"/>
        <w:tab w:val="right" w:pos="9026"/>
      </w:tabs>
      <w:spacing w:before="0"/>
    </w:pPr>
  </w:style>
  <w:style w:type="character" w:customStyle="1" w:styleId="FooterChar">
    <w:name w:val="Footer Char"/>
    <w:basedOn w:val="DefaultParagraphFont"/>
    <w:link w:val="Footer"/>
    <w:uiPriority w:val="99"/>
    <w:rsid w:val="00C95C0B"/>
    <w:rPr>
      <w:rFonts w:eastAsia="Helvetica Neue"/>
      <w:sz w:val="22"/>
    </w:rPr>
  </w:style>
  <w:style w:type="table" w:customStyle="1" w:styleId="CCYPInfoBar">
    <w:name w:val="CCYP Info Bar"/>
    <w:basedOn w:val="TableNormal"/>
    <w:uiPriority w:val="99"/>
    <w:rsid w:val="00C74A3D"/>
    <w:pPr>
      <w:jc w:val="center"/>
    </w:pPr>
    <w:rPr>
      <w:color w:val="F79646" w:themeColor="accent6"/>
      <w:sz w:val="14"/>
      <w:lang w:val="en-GB"/>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tcPr>
    </w:tblStylePr>
    <w:tblStylePr w:type="band2Horz">
      <w:tblPr/>
      <w:tcPr>
        <w:tcBorders>
          <w:top w:val="nil"/>
          <w:left w:val="nil"/>
          <w:bottom w:val="nil"/>
          <w:right w:val="nil"/>
        </w:tcBorders>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ib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ccyp.vic.gov.au" TargetMode="External"/><Relationship Id="rId19" Type="http://schemas.openxmlformats.org/officeDocument/2006/relationships/hyperlink" Target="http://www.foi.vic.gov.au/" TargetMode="External"/><Relationship Id="rId4" Type="http://schemas.microsoft.com/office/2007/relationships/stylesWithEffects" Target="stylesWithEffects.xml"/><Relationship Id="rId9" Type="http://schemas.openxmlformats.org/officeDocument/2006/relationships/hyperlink" Target="mailto:childsafe@ccyp.vic.gov.au"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internal.vic.gov.au\DHHS\HomeDirs3\lgon0407\Desktop\Annual%20report\Book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internal.vic.gov.au\DHHS\HomeDirs3\lgon0407\Desktop\Annual%20repor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txPr>
              <a:bodyPr/>
              <a:lstStyle/>
              <a:p>
                <a:pPr>
                  <a:defRPr sz="8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Sheet2!$A$1:$A$5</c:f>
              <c:strCache>
                <c:ptCount val="5"/>
                <c:pt idx="0">
                  <c:v>Other to client : </c:v>
                </c:pt>
                <c:pt idx="1">
                  <c:v>Client to client</c:v>
                </c:pt>
                <c:pt idx="2">
                  <c:v>Staff to client</c:v>
                </c:pt>
                <c:pt idx="3">
                  <c:v>Client to other</c:v>
                </c:pt>
                <c:pt idx="4">
                  <c:v>Client to staff</c:v>
                </c:pt>
              </c:strCache>
            </c:strRef>
          </c:cat>
          <c:val>
            <c:numRef>
              <c:f>Sheet2!$B$1:$B$5</c:f>
              <c:numCache>
                <c:formatCode>General</c:formatCode>
                <c:ptCount val="5"/>
                <c:pt idx="0">
                  <c:v>143</c:v>
                </c:pt>
                <c:pt idx="1">
                  <c:v>46</c:v>
                </c:pt>
                <c:pt idx="2">
                  <c:v>20</c:v>
                </c:pt>
                <c:pt idx="3">
                  <c:v>12</c:v>
                </c:pt>
                <c:pt idx="4">
                  <c:v>1</c:v>
                </c:pt>
              </c:numCache>
            </c:numRef>
          </c:val>
        </c:ser>
        <c:dLbls>
          <c:showLegendKey val="0"/>
          <c:showVal val="0"/>
          <c:showCatName val="1"/>
          <c:showSerName val="0"/>
          <c:showPercent val="1"/>
          <c:showBubbleSize val="0"/>
          <c:showLeaderLines val="1"/>
        </c:dLbls>
        <c:firstSliceAng val="326"/>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spPr/>
              <c:txPr>
                <a:bodyPr/>
                <a:lstStyle/>
                <a:p>
                  <a:pPr>
                    <a:defRPr sz="9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dLbl>
              <c:idx val="1"/>
              <c:spPr/>
              <c:txPr>
                <a:bodyPr/>
                <a:lstStyle/>
                <a:p>
                  <a:pPr>
                    <a:defRPr sz="9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dLbl>
              <c:idx val="2"/>
              <c:spPr/>
              <c:txPr>
                <a:bodyPr/>
                <a:lstStyle/>
                <a:p>
                  <a:pPr>
                    <a:defRPr sz="9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dLbl>
              <c:idx val="3"/>
              <c:spPr/>
              <c:txPr>
                <a:bodyPr/>
                <a:lstStyle/>
                <a:p>
                  <a:pPr>
                    <a:defRPr sz="9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dLbl>
              <c:idx val="4"/>
              <c:layout>
                <c:manualLayout>
                  <c:x val="4.8667484403645524E-2"/>
                  <c:y val="6.5554240953041493E-2"/>
                </c:manualLayout>
              </c:layout>
              <c:spPr/>
              <c:txPr>
                <a:bodyPr/>
                <a:lstStyle/>
                <a:p>
                  <a:pPr>
                    <a:defRPr sz="900">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txPr>
              <a:bodyPr/>
              <a:lstStyle/>
              <a:p>
                <a:pPr>
                  <a:defRPr sz="900"/>
                </a:pPr>
                <a:endParaRPr lang="en-US"/>
              </a:p>
            </c:txPr>
            <c:showLegendKey val="0"/>
            <c:showVal val="0"/>
            <c:showCatName val="1"/>
            <c:showSerName val="0"/>
            <c:showPercent val="1"/>
            <c:showBubbleSize val="0"/>
            <c:showLeaderLines val="1"/>
          </c:dLbls>
          <c:cat>
            <c:strRef>
              <c:f>Sheet1!$A$1:$A$5</c:f>
              <c:strCache>
                <c:ptCount val="5"/>
                <c:pt idx="0">
                  <c:v>Staff to client </c:v>
                </c:pt>
                <c:pt idx="1">
                  <c:v>Other to client</c:v>
                </c:pt>
                <c:pt idx="2">
                  <c:v>Client to staff </c:v>
                </c:pt>
                <c:pt idx="3">
                  <c:v>Client to client </c:v>
                </c:pt>
                <c:pt idx="4">
                  <c:v>Client to other</c:v>
                </c:pt>
              </c:strCache>
            </c:strRef>
          </c:cat>
          <c:val>
            <c:numRef>
              <c:f>Sheet1!$B$1:$B$5</c:f>
              <c:numCache>
                <c:formatCode>0</c:formatCode>
                <c:ptCount val="5"/>
                <c:pt idx="0">
                  <c:v>200</c:v>
                </c:pt>
                <c:pt idx="1">
                  <c:v>54</c:v>
                </c:pt>
                <c:pt idx="2">
                  <c:v>42</c:v>
                </c:pt>
                <c:pt idx="3">
                  <c:v>35</c:v>
                </c:pt>
                <c:pt idx="4">
                  <c:v>21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1"/>
            <c:showSerName val="0"/>
            <c:showPercent val="1"/>
            <c:showBubbleSize val="0"/>
            <c:showLeaderLines val="1"/>
          </c:dLbls>
          <c:cat>
            <c:strRef>
              <c:f>Sheet3!$A$1:$A$4</c:f>
              <c:strCache>
                <c:ptCount val="4"/>
                <c:pt idx="0">
                  <c:v>Other to client </c:v>
                </c:pt>
                <c:pt idx="1">
                  <c:v>Client to client</c:v>
                </c:pt>
                <c:pt idx="2">
                  <c:v>Staff to client</c:v>
                </c:pt>
                <c:pt idx="3">
                  <c:v>Client to other</c:v>
                </c:pt>
              </c:strCache>
            </c:strRef>
          </c:cat>
          <c:val>
            <c:numRef>
              <c:f>Sheet3!$B$1:$B$4</c:f>
              <c:numCache>
                <c:formatCode>General</c:formatCode>
                <c:ptCount val="4"/>
                <c:pt idx="0">
                  <c:v>104</c:v>
                </c:pt>
                <c:pt idx="1">
                  <c:v>15</c:v>
                </c:pt>
                <c:pt idx="2">
                  <c:v>10</c:v>
                </c:pt>
                <c:pt idx="3">
                  <c:v>3</c:v>
                </c:pt>
              </c:numCache>
            </c:numRef>
          </c:val>
        </c:ser>
        <c:dLbls>
          <c:showLegendKey val="0"/>
          <c:showVal val="0"/>
          <c:showCatName val="1"/>
          <c:showSerName val="0"/>
          <c:showPercent val="1"/>
          <c:showBubbleSize val="0"/>
          <c:showLeaderLines val="1"/>
        </c:dLbls>
        <c:firstSliceAng val="322"/>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BC10-364E-46B4-A808-1A9C06BE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23743</Words>
  <Characters>135339</Characters>
  <Application>Microsoft Office Word</Application>
  <DocSecurity>2</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 Gonzalez (DHHS)</dc:creator>
  <cp:lastModifiedBy>Luis Gonzalez</cp:lastModifiedBy>
  <cp:revision>2</cp:revision>
  <dcterms:created xsi:type="dcterms:W3CDTF">2017-10-19T22:31:00Z</dcterms:created>
  <dcterms:modified xsi:type="dcterms:W3CDTF">2017-10-19T22:31:00Z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InDesign CS6 (Macintosh)</vt:lpwstr>
  </property>
  <property fmtid="{D5CDD505-2E9C-101B-9397-08002B2CF9AE}" pid="4" name="LastSaved">
    <vt:filetime>2017-10-16T00:00:00Z</vt:filetime>
  </property>
</Properties>
</file>