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59" w:rsidRDefault="006700E7" w:rsidP="00433D5B">
      <w:pPr>
        <w:pStyle w:val="Heading1"/>
      </w:pPr>
      <w:r>
        <w:t xml:space="preserve">What types of conduct </w:t>
      </w:r>
      <w:r w:rsidR="00686D9A">
        <w:t xml:space="preserve">are </w:t>
      </w:r>
      <w:r>
        <w:t>reportable?</w:t>
      </w:r>
    </w:p>
    <w:p w:rsidR="006700E7" w:rsidRPr="00137662" w:rsidRDefault="006700E7" w:rsidP="006700E7">
      <w:pPr>
        <w:rPr>
          <w:sz w:val="20"/>
        </w:rPr>
      </w:pPr>
      <w:r w:rsidRPr="00137662">
        <w:rPr>
          <w:sz w:val="20"/>
        </w:rPr>
        <w:t>There are five types of ‘reportable conduct’</w:t>
      </w:r>
      <w:r w:rsidR="00E06D8B" w:rsidRPr="00137662">
        <w:rPr>
          <w:sz w:val="20"/>
        </w:rPr>
        <w:t xml:space="preserve"> listed in the </w:t>
      </w:r>
      <w:r w:rsidR="00E06D8B" w:rsidRPr="00137662">
        <w:rPr>
          <w:i/>
          <w:sz w:val="20"/>
        </w:rPr>
        <w:t>Child Wellbeing and Safety Act 2005</w:t>
      </w:r>
      <w:r w:rsidR="001A6714" w:rsidRPr="00137662">
        <w:rPr>
          <w:i/>
          <w:sz w:val="20"/>
        </w:rPr>
        <w:t>:</w:t>
      </w:r>
    </w:p>
    <w:p w:rsidR="006700E7" w:rsidRPr="00137662" w:rsidRDefault="001D7420" w:rsidP="006700E7">
      <w:pPr>
        <w:pStyle w:val="CCYPBulletsIndent"/>
        <w:rPr>
          <w:sz w:val="20"/>
        </w:rPr>
      </w:pPr>
      <w:r>
        <w:rPr>
          <w:noProof/>
          <w:sz w:val="20"/>
          <w:szCs w:val="20"/>
          <w:lang w:val="en-AU" w:eastAsia="en-AU"/>
        </w:rPr>
        <mc:AlternateContent>
          <mc:Choice Requires="wps">
            <w:drawing>
              <wp:anchor distT="0" distB="0" distL="114300" distR="114300" simplePos="0" relativeHeight="251659264" behindDoc="0" locked="0" layoutInCell="1" allowOverlap="1" wp14:anchorId="2B796FF2" wp14:editId="6CC853E7">
                <wp:simplePos x="0" y="0"/>
                <wp:positionH relativeFrom="margin">
                  <wp:posOffset>5022215</wp:posOffset>
                </wp:positionH>
                <wp:positionV relativeFrom="margin">
                  <wp:posOffset>988060</wp:posOffset>
                </wp:positionV>
                <wp:extent cx="1285875" cy="781050"/>
                <wp:effectExtent l="0" t="0" r="28575" b="19050"/>
                <wp:wrapSquare wrapText="bothSides"/>
                <wp:docPr id="2" name="Round Single Corner Rectangle 2"/>
                <wp:cNvGraphicFramePr/>
                <a:graphic xmlns:a="http://schemas.openxmlformats.org/drawingml/2006/main">
                  <a:graphicData uri="http://schemas.microsoft.com/office/word/2010/wordprocessingShape">
                    <wps:wsp>
                      <wps:cNvSpPr/>
                      <wps:spPr>
                        <a:xfrm>
                          <a:off x="0" y="0"/>
                          <a:ext cx="1285875" cy="781050"/>
                        </a:xfrm>
                        <a:prstGeom prst="round1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22BFA" w:rsidRPr="00DD45D5" w:rsidRDefault="00022BFA" w:rsidP="001D7420">
                            <w:pPr>
                              <w:autoSpaceDE w:val="0"/>
                              <w:autoSpaceDN w:val="0"/>
                              <w:adjustRightInd w:val="0"/>
                              <w:spacing w:before="0"/>
                              <w:rPr>
                                <w:b/>
                                <w:sz w:val="20"/>
                                <w:szCs w:val="20"/>
                                <w:lang w:val="en-AU"/>
                              </w:rPr>
                            </w:pPr>
                            <w:r>
                              <w:rPr>
                                <w:b/>
                                <w:noProof/>
                                <w:sz w:val="20"/>
                                <w:szCs w:val="20"/>
                                <w:lang w:val="en-AU" w:eastAsia="en-AU"/>
                              </w:rPr>
                              <w:drawing>
                                <wp:inline distT="0" distB="0" distL="0" distR="0">
                                  <wp:extent cx="238125" cy="2137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3702"/>
                                          </a:xfrm>
                                          <a:prstGeom prst="rect">
                                            <a:avLst/>
                                          </a:prstGeom>
                                          <a:noFill/>
                                          <a:ln>
                                            <a:noFill/>
                                          </a:ln>
                                        </pic:spPr>
                                      </pic:pic>
                                    </a:graphicData>
                                  </a:graphic>
                                </wp:inline>
                              </w:drawing>
                            </w:r>
                            <w:r>
                              <w:rPr>
                                <w:b/>
                                <w:sz w:val="20"/>
                                <w:szCs w:val="20"/>
                                <w:lang w:val="en-AU"/>
                              </w:rPr>
                              <w:t xml:space="preserve"> </w:t>
                            </w:r>
                            <w:r w:rsidRPr="00DD45D5">
                              <w:rPr>
                                <w:b/>
                                <w:sz w:val="20"/>
                                <w:szCs w:val="20"/>
                                <w:lang w:val="en-AU"/>
                              </w:rPr>
                              <w:t>A child is anyone who is under 18 years of age.</w:t>
                            </w:r>
                          </w:p>
                          <w:p w:rsidR="00022BFA" w:rsidRDefault="00022BFA" w:rsidP="001D74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2" o:spid="_x0000_s1026" style="position:absolute;left:0;text-align:left;margin-left:395.45pt;margin-top:77.8pt;width:101.25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1285875,781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" adj="-11796480,,5400" path="m,l1155697,v71895,,130178,58283,130178,130178l1285875,781050,,781050,,xe" fillcolor="white [3212]" strokecolor="#004062 [1604]" strokeweight="1pt">
                <v:stroke joinstyle="miter"/>
                <v:formulas/>
                <v:path arrowok="t" o:connecttype="custom" o:connectlocs="0,0;1155697,0;1285875,130178;1285875,781050;0,781050;0,0" o:connectangles="0,0,0,0,0,0" textboxrect="0,0,1285875,781050"/>
                <v:textbox>
                  <w:txbxContent>
                    <w:p w:rsidR="00022BFA" w:rsidRPr="00DD45D5" w:rsidRDefault="00022BFA" w:rsidP="001D7420">
                      <w:pPr>
                        <w:autoSpaceDE w:val="0"/>
                        <w:autoSpaceDN w:val="0"/>
                        <w:adjustRightInd w:val="0"/>
                        <w:spacing w:before="0"/>
                        <w:rPr>
                          <w:b/>
                          <w:sz w:val="20"/>
                          <w:szCs w:val="20"/>
                          <w:lang w:val="en-AU"/>
                        </w:rPr>
                      </w:pPr>
                      <w:r>
                        <w:rPr>
                          <w:b/>
                          <w:noProof/>
                          <w:sz w:val="20"/>
                          <w:szCs w:val="20"/>
                          <w:lang w:val="en-AU" w:eastAsia="en-AU"/>
                        </w:rPr>
                        <w:drawing>
                          <wp:inline distT="0" distB="0" distL="0" distR="0">
                            <wp:extent cx="238125" cy="2137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13702"/>
                                    </a:xfrm>
                                    <a:prstGeom prst="rect">
                                      <a:avLst/>
                                    </a:prstGeom>
                                    <a:noFill/>
                                    <a:ln>
                                      <a:noFill/>
                                    </a:ln>
                                  </pic:spPr>
                                </pic:pic>
                              </a:graphicData>
                            </a:graphic>
                          </wp:inline>
                        </w:drawing>
                      </w:r>
                      <w:r>
                        <w:rPr>
                          <w:b/>
                          <w:sz w:val="20"/>
                          <w:szCs w:val="20"/>
                          <w:lang w:val="en-AU"/>
                        </w:rPr>
                        <w:t xml:space="preserve"> </w:t>
                      </w:r>
                      <w:r w:rsidRPr="00DD45D5">
                        <w:rPr>
                          <w:b/>
                          <w:sz w:val="20"/>
                          <w:szCs w:val="20"/>
                          <w:lang w:val="en-AU"/>
                        </w:rPr>
                        <w:t>A child is anyone who is under 18 years of age.</w:t>
                      </w:r>
                    </w:p>
                    <w:p w:rsidR="00022BFA" w:rsidRDefault="00022BFA" w:rsidP="001D7420">
                      <w:pPr>
                        <w:jc w:val="center"/>
                      </w:pPr>
                    </w:p>
                  </w:txbxContent>
                </v:textbox>
                <w10:wrap type="square" anchorx="margin" anchory="margin"/>
              </v:shape>
            </w:pict>
          </mc:Fallback>
        </mc:AlternateContent>
      </w:r>
      <w:r w:rsidR="001A6714" w:rsidRPr="00137662">
        <w:rPr>
          <w:sz w:val="20"/>
        </w:rPr>
        <w:t>s</w:t>
      </w:r>
      <w:r w:rsidR="006700E7" w:rsidRPr="00137662">
        <w:rPr>
          <w:sz w:val="20"/>
        </w:rPr>
        <w:t>exual offences</w:t>
      </w:r>
      <w:r w:rsidR="00C81E34" w:rsidRPr="00137662">
        <w:rPr>
          <w:sz w:val="20"/>
        </w:rPr>
        <w:t xml:space="preserve"> (against, with or in the presence of, a child)</w:t>
      </w:r>
    </w:p>
    <w:p w:rsidR="006700E7" w:rsidRPr="00137662" w:rsidRDefault="001A6714" w:rsidP="006700E7">
      <w:pPr>
        <w:pStyle w:val="CCYPBulletsIndent"/>
        <w:rPr>
          <w:sz w:val="20"/>
        </w:rPr>
      </w:pPr>
      <w:r w:rsidRPr="00137662">
        <w:rPr>
          <w:sz w:val="20"/>
        </w:rPr>
        <w:t>s</w:t>
      </w:r>
      <w:r w:rsidR="006700E7" w:rsidRPr="00137662">
        <w:rPr>
          <w:sz w:val="20"/>
        </w:rPr>
        <w:t>exual misconduct</w:t>
      </w:r>
      <w:r w:rsidR="00C81E34" w:rsidRPr="00137662">
        <w:rPr>
          <w:sz w:val="20"/>
        </w:rPr>
        <w:t xml:space="preserve"> (against, with or in the presence of, a child)</w:t>
      </w:r>
    </w:p>
    <w:p w:rsidR="006700E7" w:rsidRPr="00137662" w:rsidRDefault="001A6714" w:rsidP="006700E7">
      <w:pPr>
        <w:pStyle w:val="CCYPBulletsIndent"/>
        <w:rPr>
          <w:sz w:val="20"/>
        </w:rPr>
      </w:pPr>
      <w:r w:rsidRPr="00137662">
        <w:rPr>
          <w:sz w:val="20"/>
        </w:rPr>
        <w:t>p</w:t>
      </w:r>
      <w:r w:rsidR="006700E7" w:rsidRPr="00137662">
        <w:rPr>
          <w:sz w:val="20"/>
        </w:rPr>
        <w:t>hysical violence</w:t>
      </w:r>
      <w:r w:rsidR="00C81E34" w:rsidRPr="00137662">
        <w:rPr>
          <w:sz w:val="20"/>
        </w:rPr>
        <w:t xml:space="preserve"> (against, with or in the presence of, a child)</w:t>
      </w:r>
      <w:r w:rsidR="001D7420" w:rsidRPr="001D7420">
        <w:rPr>
          <w:noProof/>
          <w:sz w:val="20"/>
          <w:szCs w:val="20"/>
          <w:lang w:val="en-AU" w:eastAsia="en-AU"/>
        </w:rPr>
        <w:t xml:space="preserve"> </w:t>
      </w:r>
    </w:p>
    <w:p w:rsidR="006700E7" w:rsidRPr="00137662" w:rsidRDefault="001A6714" w:rsidP="006700E7">
      <w:pPr>
        <w:pStyle w:val="CCYPBulletsIndent"/>
        <w:rPr>
          <w:sz w:val="20"/>
        </w:rPr>
      </w:pPr>
      <w:r w:rsidRPr="00137662">
        <w:rPr>
          <w:sz w:val="20"/>
        </w:rPr>
        <w:t>b</w:t>
      </w:r>
      <w:r w:rsidR="006700E7" w:rsidRPr="00137662">
        <w:rPr>
          <w:sz w:val="20"/>
        </w:rPr>
        <w:t>ehaviour that cause</w:t>
      </w:r>
      <w:r w:rsidR="0044241D">
        <w:rPr>
          <w:sz w:val="20"/>
        </w:rPr>
        <w:t>s</w:t>
      </w:r>
      <w:r w:rsidR="006700E7" w:rsidRPr="00137662">
        <w:rPr>
          <w:sz w:val="20"/>
        </w:rPr>
        <w:t xml:space="preserve"> significant emotional or psychological harm</w:t>
      </w:r>
    </w:p>
    <w:p w:rsidR="006700E7" w:rsidRPr="00137662" w:rsidRDefault="001A6714" w:rsidP="006700E7">
      <w:pPr>
        <w:pStyle w:val="CCYPBulletsIndent"/>
        <w:rPr>
          <w:sz w:val="20"/>
        </w:rPr>
      </w:pPr>
      <w:r w:rsidRPr="00137662">
        <w:rPr>
          <w:sz w:val="20"/>
        </w:rPr>
        <w:t>s</w:t>
      </w:r>
      <w:r w:rsidR="006700E7" w:rsidRPr="00137662">
        <w:rPr>
          <w:sz w:val="20"/>
        </w:rPr>
        <w:t>ignificant neglect.</w:t>
      </w:r>
    </w:p>
    <w:p w:rsidR="006700E7" w:rsidRPr="00137662" w:rsidRDefault="006700E7" w:rsidP="006700E7">
      <w:pPr>
        <w:rPr>
          <w:sz w:val="20"/>
        </w:rPr>
      </w:pPr>
      <w:r w:rsidRPr="00137662">
        <w:rPr>
          <w:sz w:val="20"/>
        </w:rPr>
        <w:t xml:space="preserve">A short description of the </w:t>
      </w:r>
      <w:r w:rsidR="00C81E34" w:rsidRPr="00137662">
        <w:rPr>
          <w:sz w:val="20"/>
        </w:rPr>
        <w:t>types</w:t>
      </w:r>
      <w:r w:rsidRPr="00137662">
        <w:rPr>
          <w:sz w:val="20"/>
        </w:rPr>
        <w:t xml:space="preserve"> of reportable conduct is provided below.</w:t>
      </w:r>
    </w:p>
    <w:p w:rsidR="006700E7" w:rsidRDefault="006700E7" w:rsidP="006700E7">
      <w:pPr>
        <w:pStyle w:val="Heading2"/>
      </w:pPr>
      <w:r>
        <w:t xml:space="preserve">What </w:t>
      </w:r>
      <w:r w:rsidR="00686D9A">
        <w:t xml:space="preserve">are </w:t>
      </w:r>
      <w:r>
        <w:t>sexual offence</w:t>
      </w:r>
      <w:r w:rsidR="00686D9A">
        <w:t>s</w:t>
      </w:r>
      <w:r>
        <w:t>?</w:t>
      </w:r>
    </w:p>
    <w:p w:rsidR="00686D9A" w:rsidRPr="00137662" w:rsidRDefault="0005323D" w:rsidP="006700E7">
      <w:pPr>
        <w:rPr>
          <w:sz w:val="20"/>
        </w:rPr>
      </w:pPr>
      <w:r w:rsidRPr="00137662">
        <w:rPr>
          <w:sz w:val="20"/>
        </w:rPr>
        <w:t>In Victoria, it is an offence to engage in certain sexual behaviours against, with or in front of, a child</w:t>
      </w:r>
      <w:r w:rsidR="00E635C3" w:rsidRPr="00137662">
        <w:rPr>
          <w:sz w:val="20"/>
        </w:rPr>
        <w:t xml:space="preserve">. Many of these behaviours are </w:t>
      </w:r>
      <w:r w:rsidRPr="00137662">
        <w:rPr>
          <w:sz w:val="20"/>
        </w:rPr>
        <w:t>reportable conduct under the Reportable Conduct Scheme. This includes:</w:t>
      </w:r>
    </w:p>
    <w:p w:rsidR="0005323D" w:rsidRPr="00137662" w:rsidRDefault="001A6714" w:rsidP="008C6040">
      <w:pPr>
        <w:pStyle w:val="CCYPBulletsIndent"/>
        <w:rPr>
          <w:sz w:val="20"/>
        </w:rPr>
      </w:pPr>
      <w:r w:rsidRPr="00137662">
        <w:rPr>
          <w:sz w:val="20"/>
        </w:rPr>
        <w:t>s</w:t>
      </w:r>
      <w:r w:rsidR="0005323D" w:rsidRPr="00137662">
        <w:rPr>
          <w:sz w:val="20"/>
        </w:rPr>
        <w:t>exual assault</w:t>
      </w:r>
    </w:p>
    <w:p w:rsidR="0005323D" w:rsidRPr="00137662" w:rsidRDefault="001A6714" w:rsidP="008C6040">
      <w:pPr>
        <w:pStyle w:val="CCYPBulletsIndent"/>
        <w:rPr>
          <w:sz w:val="20"/>
        </w:rPr>
      </w:pPr>
      <w:r w:rsidRPr="00137662">
        <w:rPr>
          <w:sz w:val="20"/>
        </w:rPr>
        <w:t>i</w:t>
      </w:r>
      <w:r w:rsidR="0005323D" w:rsidRPr="00137662">
        <w:rPr>
          <w:sz w:val="20"/>
        </w:rPr>
        <w:t>ndecent acts</w:t>
      </w:r>
    </w:p>
    <w:p w:rsidR="0005323D" w:rsidRPr="00137662" w:rsidRDefault="001A6714" w:rsidP="008C6040">
      <w:pPr>
        <w:pStyle w:val="CCYPBulletsIndent"/>
        <w:rPr>
          <w:sz w:val="20"/>
        </w:rPr>
      </w:pPr>
      <w:r w:rsidRPr="00137662">
        <w:rPr>
          <w:sz w:val="20"/>
        </w:rPr>
        <w:t>p</w:t>
      </w:r>
      <w:r w:rsidR="0005323D" w:rsidRPr="00137662">
        <w:rPr>
          <w:sz w:val="20"/>
        </w:rPr>
        <w:t>ossession of child abuse material</w:t>
      </w:r>
    </w:p>
    <w:p w:rsidR="0005323D" w:rsidRPr="00137662" w:rsidRDefault="0005323D" w:rsidP="008C6040">
      <w:pPr>
        <w:pStyle w:val="CCYPBulletsIndent"/>
        <w:rPr>
          <w:sz w:val="20"/>
        </w:rPr>
      </w:pPr>
      <w:r w:rsidRPr="00137662">
        <w:rPr>
          <w:sz w:val="20"/>
        </w:rPr>
        <w:t>‘</w:t>
      </w:r>
      <w:r w:rsidR="001A6714" w:rsidRPr="00137662">
        <w:rPr>
          <w:sz w:val="20"/>
        </w:rPr>
        <w:t>g</w:t>
      </w:r>
      <w:r w:rsidRPr="00137662">
        <w:rPr>
          <w:sz w:val="20"/>
        </w:rPr>
        <w:t>rooming’ a child in order to commit a sexual offence.</w:t>
      </w:r>
    </w:p>
    <w:p w:rsidR="006700E7" w:rsidRPr="00137662" w:rsidRDefault="00686D9A" w:rsidP="006700E7">
      <w:pPr>
        <w:rPr>
          <w:sz w:val="20"/>
        </w:rPr>
      </w:pPr>
      <w:r w:rsidRPr="00137662">
        <w:rPr>
          <w:sz w:val="20"/>
        </w:rPr>
        <w:t xml:space="preserve">A full list of the relevant </w:t>
      </w:r>
      <w:r w:rsidR="0005323D" w:rsidRPr="00137662">
        <w:rPr>
          <w:sz w:val="20"/>
        </w:rPr>
        <w:t xml:space="preserve">sexual </w:t>
      </w:r>
      <w:r w:rsidRPr="00137662">
        <w:rPr>
          <w:sz w:val="20"/>
        </w:rPr>
        <w:t xml:space="preserve">offences is set out in </w:t>
      </w:r>
      <w:r w:rsidR="006700E7" w:rsidRPr="00137662">
        <w:rPr>
          <w:sz w:val="20"/>
        </w:rPr>
        <w:t xml:space="preserve">clause 1 of Schedule 1 to the </w:t>
      </w:r>
      <w:r w:rsidR="006700E7" w:rsidRPr="00137662">
        <w:rPr>
          <w:i/>
          <w:sz w:val="20"/>
        </w:rPr>
        <w:t>Sentencing Act 1991</w:t>
      </w:r>
      <w:r w:rsidR="006700E7" w:rsidRPr="00137662">
        <w:rPr>
          <w:sz w:val="20"/>
        </w:rPr>
        <w:t>.</w:t>
      </w:r>
    </w:p>
    <w:p w:rsidR="0005323D" w:rsidRDefault="001A6714" w:rsidP="0005323D">
      <w:pPr>
        <w:rPr>
          <w:sz w:val="20"/>
        </w:rPr>
      </w:pPr>
      <w:r w:rsidRPr="00137662">
        <w:rPr>
          <w:sz w:val="20"/>
        </w:rPr>
        <w:t>A</w:t>
      </w:r>
      <w:r w:rsidR="00674767" w:rsidRPr="00137662">
        <w:rPr>
          <w:sz w:val="20"/>
        </w:rPr>
        <w:t xml:space="preserve"> </w:t>
      </w:r>
      <w:r w:rsidR="00645B6A">
        <w:rPr>
          <w:sz w:val="20"/>
        </w:rPr>
        <w:t>worker or volunteer</w:t>
      </w:r>
      <w:r w:rsidR="00645B6A" w:rsidRPr="00137662">
        <w:rPr>
          <w:sz w:val="20"/>
        </w:rPr>
        <w:t xml:space="preserve"> </w:t>
      </w:r>
      <w:r w:rsidRPr="00137662">
        <w:rPr>
          <w:sz w:val="20"/>
        </w:rPr>
        <w:t xml:space="preserve">does not need to </w:t>
      </w:r>
      <w:r w:rsidR="00674767" w:rsidRPr="00137662">
        <w:rPr>
          <w:sz w:val="20"/>
        </w:rPr>
        <w:t xml:space="preserve">be </w:t>
      </w:r>
      <w:r w:rsidR="00BC0596" w:rsidRPr="00137662">
        <w:rPr>
          <w:sz w:val="20"/>
        </w:rPr>
        <w:t xml:space="preserve">charged with, </w:t>
      </w:r>
      <w:r w:rsidR="00674767" w:rsidRPr="00137662">
        <w:rPr>
          <w:sz w:val="20"/>
        </w:rPr>
        <w:t xml:space="preserve">or found guilty of, a sexual offence </w:t>
      </w:r>
      <w:r w:rsidR="00BC0596" w:rsidRPr="00137662">
        <w:rPr>
          <w:sz w:val="20"/>
        </w:rPr>
        <w:t xml:space="preserve">for their behaviour to be </w:t>
      </w:r>
      <w:r w:rsidRPr="00137662">
        <w:rPr>
          <w:sz w:val="20"/>
        </w:rPr>
        <w:t>reportable</w:t>
      </w:r>
      <w:r w:rsidR="00BC0596" w:rsidRPr="00137662">
        <w:rPr>
          <w:sz w:val="20"/>
        </w:rPr>
        <w:t xml:space="preserve"> conduct</w:t>
      </w:r>
      <w:r w:rsidRPr="00137662">
        <w:rPr>
          <w:sz w:val="20"/>
        </w:rPr>
        <w:t xml:space="preserve">. </w:t>
      </w:r>
    </w:p>
    <w:p w:rsidR="00D52690" w:rsidRPr="00776647" w:rsidRDefault="00D52690" w:rsidP="0005323D">
      <w:pPr>
        <w:rPr>
          <w:i/>
          <w:sz w:val="20"/>
        </w:rPr>
      </w:pPr>
      <w:r>
        <w:rPr>
          <w:sz w:val="20"/>
        </w:rPr>
        <w:t xml:space="preserve">The terms </w:t>
      </w:r>
      <w:r>
        <w:rPr>
          <w:i/>
          <w:sz w:val="20"/>
        </w:rPr>
        <w:t xml:space="preserve">worker </w:t>
      </w:r>
      <w:r>
        <w:rPr>
          <w:sz w:val="20"/>
        </w:rPr>
        <w:t xml:space="preserve">and </w:t>
      </w:r>
      <w:r>
        <w:rPr>
          <w:i/>
          <w:sz w:val="20"/>
        </w:rPr>
        <w:t xml:space="preserve">volunteer </w:t>
      </w:r>
      <w:r w:rsidR="00B3634F">
        <w:rPr>
          <w:sz w:val="20"/>
        </w:rPr>
        <w:t>are used to cover</w:t>
      </w:r>
      <w:r w:rsidRPr="00776647">
        <w:rPr>
          <w:sz w:val="20"/>
        </w:rPr>
        <w:t xml:space="preserve"> a range of peopl</w:t>
      </w:r>
      <w:r>
        <w:rPr>
          <w:sz w:val="20"/>
        </w:rPr>
        <w:t xml:space="preserve">e </w:t>
      </w:r>
      <w:r w:rsidR="00B3634F">
        <w:rPr>
          <w:sz w:val="20"/>
        </w:rPr>
        <w:t xml:space="preserve">subject to </w:t>
      </w:r>
      <w:r>
        <w:rPr>
          <w:sz w:val="20"/>
        </w:rPr>
        <w:t>the scheme. Further details are provided in Information Sheet 1 – About the Victorian Reportable Conduct Scheme, under the heading Who can a reportable allegation be made about under the scheme?</w:t>
      </w:r>
    </w:p>
    <w:p w:rsidR="001E54BA" w:rsidRDefault="001E54BA" w:rsidP="001E54BA">
      <w:pPr>
        <w:pStyle w:val="Heading2"/>
      </w:pPr>
      <w:r>
        <w:t>What is sexual misconduct</w:t>
      </w:r>
      <w:r w:rsidR="00C60062">
        <w:t>?</w:t>
      </w:r>
    </w:p>
    <w:p w:rsidR="001E54BA" w:rsidRDefault="001E54BA" w:rsidP="001E54BA">
      <w:pPr>
        <w:rPr>
          <w:sz w:val="20"/>
        </w:rPr>
      </w:pPr>
      <w:r w:rsidRPr="00137662">
        <w:rPr>
          <w:sz w:val="20"/>
        </w:rPr>
        <w:t xml:space="preserve">‘Sexual misconduct’ captures </w:t>
      </w:r>
      <w:r w:rsidR="00674767" w:rsidRPr="00137662">
        <w:rPr>
          <w:sz w:val="20"/>
        </w:rPr>
        <w:t>a broader range of</w:t>
      </w:r>
      <w:r w:rsidRPr="00137662">
        <w:rPr>
          <w:sz w:val="20"/>
        </w:rPr>
        <w:t xml:space="preserve"> inappropriate behaviours of a sexual nature that are not necessarily criminal</w:t>
      </w:r>
      <w:r w:rsidR="00A67D71">
        <w:rPr>
          <w:sz w:val="20"/>
        </w:rPr>
        <w:t xml:space="preserve">. </w:t>
      </w:r>
    </w:p>
    <w:p w:rsidR="00A67D71" w:rsidRPr="00A67D71" w:rsidRDefault="00A67D71" w:rsidP="00A67D71">
      <w:pPr>
        <w:rPr>
          <w:sz w:val="20"/>
        </w:rPr>
      </w:pPr>
      <w:r w:rsidRPr="00A67D71">
        <w:rPr>
          <w:sz w:val="20"/>
        </w:rPr>
        <w:t>Sexual misconduct refers to conduct that:</w:t>
      </w:r>
    </w:p>
    <w:p w:rsidR="00A67D71" w:rsidRPr="00A67D71" w:rsidRDefault="00A67D71" w:rsidP="00A67D71">
      <w:pPr>
        <w:pStyle w:val="CCYPBulletsIndent"/>
        <w:rPr>
          <w:sz w:val="20"/>
        </w:rPr>
      </w:pPr>
      <w:r w:rsidRPr="00A67D71">
        <w:rPr>
          <w:sz w:val="20"/>
        </w:rPr>
        <w:t>amounts to misconduct</w:t>
      </w:r>
    </w:p>
    <w:p w:rsidR="00A67D71" w:rsidRPr="00A67D71" w:rsidRDefault="00A67D71" w:rsidP="00A67D71">
      <w:pPr>
        <w:pStyle w:val="CCYPBulletsIndent"/>
        <w:rPr>
          <w:sz w:val="20"/>
        </w:rPr>
      </w:pPr>
      <w:r w:rsidRPr="00A67D71">
        <w:rPr>
          <w:sz w:val="20"/>
        </w:rPr>
        <w:t>is of a sexual nature, and</w:t>
      </w:r>
    </w:p>
    <w:p w:rsidR="00A67D71" w:rsidRPr="00A67D71" w:rsidRDefault="00A67D71" w:rsidP="00A67D71">
      <w:pPr>
        <w:pStyle w:val="CCYPBulletsIndent"/>
        <w:rPr>
          <w:sz w:val="20"/>
        </w:rPr>
      </w:pPr>
      <w:r w:rsidRPr="00A67D71">
        <w:rPr>
          <w:sz w:val="20"/>
        </w:rPr>
        <w:t>occurred against, with, or in the presence of, a child.</w:t>
      </w:r>
    </w:p>
    <w:p w:rsidR="00A67D71" w:rsidRPr="00ED1065" w:rsidRDefault="00A67D71" w:rsidP="00174D64">
      <w:pPr>
        <w:pStyle w:val="CCYPBulletsIndent"/>
        <w:numPr>
          <w:ilvl w:val="0"/>
          <w:numId w:val="0"/>
        </w:numPr>
        <w:rPr>
          <w:lang w:val="en-AU"/>
        </w:rPr>
      </w:pPr>
      <w:r>
        <w:rPr>
          <w:lang w:val="en-AU"/>
        </w:rPr>
        <w:t xml:space="preserve">Please refer to </w:t>
      </w:r>
      <w:r w:rsidRPr="00735C58">
        <w:rPr>
          <w:color w:val="0070C0"/>
          <w:u w:val="single"/>
          <w:lang w:val="en-AU"/>
        </w:rPr>
        <w:t xml:space="preserve">Information Sheet </w:t>
      </w:r>
      <w:r w:rsidR="00FF6564">
        <w:rPr>
          <w:color w:val="0070C0"/>
          <w:u w:val="single"/>
          <w:lang w:val="en-AU"/>
        </w:rPr>
        <w:t>9</w:t>
      </w:r>
      <w:r>
        <w:rPr>
          <w:color w:val="0070C0"/>
          <w:u w:val="single"/>
          <w:lang w:val="en-AU"/>
        </w:rPr>
        <w:t xml:space="preserve"> – Sexual misconduct</w:t>
      </w:r>
      <w:r w:rsidRPr="00023441">
        <w:rPr>
          <w:color w:val="0070C0"/>
          <w:lang w:val="en-AU"/>
        </w:rPr>
        <w:t xml:space="preserve"> </w:t>
      </w:r>
      <w:r>
        <w:rPr>
          <w:lang w:val="en-AU"/>
        </w:rPr>
        <w:t>for further guidance.</w:t>
      </w:r>
    </w:p>
    <w:p w:rsidR="00137662" w:rsidRDefault="00137662">
      <w:pPr>
        <w:spacing w:before="0"/>
        <w:rPr>
          <w:rFonts w:eastAsiaTheme="majorEastAsia"/>
          <w:b/>
          <w:sz w:val="24"/>
          <w:szCs w:val="26"/>
        </w:rPr>
      </w:pPr>
      <w:r>
        <w:br w:type="page"/>
      </w:r>
    </w:p>
    <w:p w:rsidR="001E54BA" w:rsidRDefault="001E54BA" w:rsidP="001E54BA">
      <w:pPr>
        <w:pStyle w:val="Heading2"/>
      </w:pPr>
      <w:r>
        <w:lastRenderedPageBreak/>
        <w:t>What is physical violence</w:t>
      </w:r>
      <w:r w:rsidR="00C60062">
        <w:t>?</w:t>
      </w:r>
    </w:p>
    <w:p w:rsidR="00A67D71" w:rsidRPr="00174D64" w:rsidRDefault="00A67D71" w:rsidP="00A67D71">
      <w:pPr>
        <w:spacing w:before="120" w:after="120"/>
        <w:rPr>
          <w:sz w:val="20"/>
          <w:szCs w:val="20"/>
          <w:lang w:val="en-AU"/>
        </w:rPr>
      </w:pPr>
      <w:r w:rsidRPr="00174D64">
        <w:rPr>
          <w:sz w:val="20"/>
          <w:szCs w:val="20"/>
          <w:lang w:val="en-AU"/>
        </w:rPr>
        <w:t>Physical violence committed against, with or in the presence of a child can fall into two categories.  Physical violence can be either:</w:t>
      </w:r>
    </w:p>
    <w:p w:rsidR="00A67D71" w:rsidRPr="00174D64" w:rsidRDefault="00A67D71" w:rsidP="00174D64">
      <w:pPr>
        <w:pStyle w:val="CCYPBulletsIndent"/>
        <w:ind w:left="714" w:hanging="357"/>
        <w:rPr>
          <w:sz w:val="20"/>
          <w:szCs w:val="20"/>
          <w:lang w:val="en-AU"/>
        </w:rPr>
      </w:pPr>
      <w:r w:rsidRPr="00174D64">
        <w:rPr>
          <w:sz w:val="20"/>
          <w:szCs w:val="20"/>
          <w:lang w:val="en-AU"/>
        </w:rPr>
        <w:t>actual physical violence - a worker or volunteer intentionally or recklessly uses physical force against, with, or in the presence of a child without a lawful reason, which has the ability to cause injury or harm to the child. Actual physical violence can include hitting, punching, kicking, pushing or throwing something that strikes a child or another person.</w:t>
      </w:r>
    </w:p>
    <w:p w:rsidR="00A67D71" w:rsidRPr="00174D64" w:rsidRDefault="00A67D71" w:rsidP="00174D64">
      <w:pPr>
        <w:pStyle w:val="CCYPBulletsIndent"/>
        <w:ind w:left="714" w:hanging="357"/>
        <w:rPr>
          <w:sz w:val="20"/>
          <w:szCs w:val="20"/>
          <w:lang w:val="en-AU"/>
        </w:rPr>
      </w:pPr>
      <w:r w:rsidRPr="00174D64">
        <w:rPr>
          <w:sz w:val="20"/>
          <w:szCs w:val="20"/>
          <w:lang w:val="en-AU"/>
        </w:rPr>
        <w:t xml:space="preserve">apprehended physical violence - a worker or volunteer intentionally or recklessly engages in conduct or behaviour against, with, or in the presence of a child that is capable of causing a child to think that physical force is about to be used against them or another person. This could include words, gestures or actions that cause a child to believe physical force is about to be used against them, regardless of whether or not the worker or volunteer actually intended that any physical force would be applied.  </w:t>
      </w:r>
    </w:p>
    <w:p w:rsidR="00A67D71" w:rsidRPr="003D754E" w:rsidRDefault="00A67D71" w:rsidP="00174D64">
      <w:pPr>
        <w:pStyle w:val="CCYPBulletsIndent"/>
        <w:numPr>
          <w:ilvl w:val="0"/>
          <w:numId w:val="0"/>
        </w:numPr>
        <w:rPr>
          <w:lang w:val="en-AU"/>
        </w:rPr>
      </w:pPr>
      <w:r>
        <w:rPr>
          <w:lang w:val="en-AU"/>
        </w:rPr>
        <w:t xml:space="preserve">Please refer to </w:t>
      </w:r>
      <w:r w:rsidRPr="00174D64">
        <w:rPr>
          <w:color w:val="0070C0"/>
          <w:u w:val="single"/>
          <w:lang w:val="en-AU"/>
        </w:rPr>
        <w:t xml:space="preserve">Information Sheet </w:t>
      </w:r>
      <w:r w:rsidR="000E4EF9">
        <w:rPr>
          <w:color w:val="0070C0"/>
          <w:u w:val="single"/>
          <w:lang w:val="en-AU"/>
        </w:rPr>
        <w:t>10</w:t>
      </w:r>
      <w:r w:rsidRPr="00174D64">
        <w:rPr>
          <w:color w:val="0070C0"/>
          <w:u w:val="single"/>
          <w:lang w:val="en-AU"/>
        </w:rPr>
        <w:t xml:space="preserve"> – Physical violence</w:t>
      </w:r>
      <w:r w:rsidRPr="00023441">
        <w:rPr>
          <w:color w:val="auto"/>
          <w:lang w:val="en-AU"/>
        </w:rPr>
        <w:t xml:space="preserve"> for further guidance.</w:t>
      </w:r>
    </w:p>
    <w:p w:rsidR="004852FC" w:rsidRDefault="004852FC" w:rsidP="004852FC">
      <w:pPr>
        <w:pStyle w:val="Heading2"/>
      </w:pPr>
      <w:r>
        <w:t>What is behaviour that causes emotional or psychological harm to a child?</w:t>
      </w:r>
    </w:p>
    <w:p w:rsidR="0044241D" w:rsidRPr="00DD7C94" w:rsidRDefault="0044241D" w:rsidP="0044241D">
      <w:pPr>
        <w:rPr>
          <w:sz w:val="20"/>
        </w:rPr>
      </w:pPr>
      <w:r>
        <w:rPr>
          <w:sz w:val="20"/>
        </w:rPr>
        <w:t>Y</w:t>
      </w:r>
      <w:r w:rsidRPr="00DD7C94">
        <w:rPr>
          <w:sz w:val="20"/>
        </w:rPr>
        <w:t xml:space="preserve">ou </w:t>
      </w:r>
      <w:r>
        <w:rPr>
          <w:sz w:val="20"/>
        </w:rPr>
        <w:t xml:space="preserve">should </w:t>
      </w:r>
      <w:r w:rsidRPr="00DD7C94">
        <w:rPr>
          <w:sz w:val="20"/>
        </w:rPr>
        <w:t xml:space="preserve">consider each allegation carefully, keeping in mind the context in which the behaviour occurred and the child’s circumstances. </w:t>
      </w:r>
    </w:p>
    <w:p w:rsidR="000F454A" w:rsidRPr="00137662" w:rsidRDefault="0044241D" w:rsidP="004852FC">
      <w:pPr>
        <w:rPr>
          <w:sz w:val="20"/>
        </w:rPr>
      </w:pPr>
      <w:r>
        <w:rPr>
          <w:sz w:val="20"/>
        </w:rPr>
        <w:t>T</w:t>
      </w:r>
      <w:r w:rsidR="004852FC" w:rsidRPr="00137662">
        <w:rPr>
          <w:sz w:val="20"/>
        </w:rPr>
        <w:t>o be reportable under this category</w:t>
      </w:r>
      <w:r w:rsidR="000F454A" w:rsidRPr="00137662">
        <w:rPr>
          <w:sz w:val="20"/>
        </w:rPr>
        <w:t>:</w:t>
      </w:r>
    </w:p>
    <w:p w:rsidR="000F454A" w:rsidRDefault="0044241D" w:rsidP="008C6040">
      <w:pPr>
        <w:pStyle w:val="CCYPBulletsIndent"/>
        <w:rPr>
          <w:sz w:val="20"/>
        </w:rPr>
      </w:pPr>
      <w:r>
        <w:rPr>
          <w:sz w:val="20"/>
        </w:rPr>
        <w:t xml:space="preserve">the allegation must concern the worker’s or volunteer’s behaviour </w:t>
      </w:r>
    </w:p>
    <w:p w:rsidR="00420C54" w:rsidRDefault="001A6714" w:rsidP="008C6040">
      <w:pPr>
        <w:pStyle w:val="CCYPBulletsIndent"/>
        <w:rPr>
          <w:sz w:val="20"/>
        </w:rPr>
      </w:pPr>
      <w:r w:rsidRPr="00137662">
        <w:rPr>
          <w:sz w:val="20"/>
        </w:rPr>
        <w:t>t</w:t>
      </w:r>
      <w:r w:rsidR="000F454A" w:rsidRPr="00137662">
        <w:rPr>
          <w:sz w:val="20"/>
        </w:rPr>
        <w:t xml:space="preserve">here must be a clear link between the </w:t>
      </w:r>
      <w:r w:rsidR="00DC2CA1">
        <w:rPr>
          <w:sz w:val="20"/>
        </w:rPr>
        <w:t>worker</w:t>
      </w:r>
      <w:r w:rsidR="0044241D">
        <w:rPr>
          <w:sz w:val="20"/>
        </w:rPr>
        <w:t>’s</w:t>
      </w:r>
      <w:r w:rsidR="00DC2CA1">
        <w:rPr>
          <w:sz w:val="20"/>
        </w:rPr>
        <w:t xml:space="preserve"> or volunteer’s</w:t>
      </w:r>
      <w:r w:rsidR="00B5562F">
        <w:rPr>
          <w:sz w:val="20"/>
        </w:rPr>
        <w:t xml:space="preserve"> </w:t>
      </w:r>
      <w:r w:rsidR="000F454A" w:rsidRPr="00137662">
        <w:rPr>
          <w:sz w:val="20"/>
        </w:rPr>
        <w:t xml:space="preserve">alleged </w:t>
      </w:r>
      <w:r w:rsidR="00573784">
        <w:rPr>
          <w:sz w:val="20"/>
        </w:rPr>
        <w:t>behaviour</w:t>
      </w:r>
      <w:r w:rsidR="00573784" w:rsidRPr="00137662">
        <w:rPr>
          <w:sz w:val="20"/>
        </w:rPr>
        <w:t xml:space="preserve"> </w:t>
      </w:r>
      <w:r w:rsidR="000F454A" w:rsidRPr="00137662">
        <w:rPr>
          <w:sz w:val="20"/>
        </w:rPr>
        <w:t>and the harm suffered</w:t>
      </w:r>
      <w:r w:rsidR="00B5562F">
        <w:rPr>
          <w:sz w:val="20"/>
        </w:rPr>
        <w:t xml:space="preserve"> by the child</w:t>
      </w:r>
    </w:p>
    <w:p w:rsidR="004852FC" w:rsidRPr="00AD01C1" w:rsidRDefault="00420C54" w:rsidP="00AD01C1">
      <w:pPr>
        <w:pStyle w:val="CCYPBulletsIndent"/>
        <w:rPr>
          <w:sz w:val="20"/>
        </w:rPr>
      </w:pPr>
      <w:r>
        <w:rPr>
          <w:sz w:val="20"/>
        </w:rPr>
        <w:t>the harm must be significant.</w:t>
      </w:r>
    </w:p>
    <w:p w:rsidR="00573784" w:rsidRPr="00252CE5" w:rsidRDefault="0044241D" w:rsidP="0044241D">
      <w:pPr>
        <w:pStyle w:val="Heading3"/>
      </w:pPr>
      <w:r>
        <w:t>Identifying the behaviour</w:t>
      </w:r>
    </w:p>
    <w:p w:rsidR="00E325D7" w:rsidRDefault="0044241D" w:rsidP="000F454A">
      <w:pPr>
        <w:rPr>
          <w:sz w:val="20"/>
        </w:rPr>
      </w:pPr>
      <w:r>
        <w:rPr>
          <w:sz w:val="20"/>
        </w:rPr>
        <w:t xml:space="preserve">A </w:t>
      </w:r>
      <w:r w:rsidR="00E325D7">
        <w:rPr>
          <w:sz w:val="20"/>
        </w:rPr>
        <w:t xml:space="preserve">child </w:t>
      </w:r>
      <w:r>
        <w:rPr>
          <w:sz w:val="20"/>
        </w:rPr>
        <w:t xml:space="preserve">can be </w:t>
      </w:r>
      <w:r w:rsidR="00E325D7">
        <w:rPr>
          <w:sz w:val="20"/>
        </w:rPr>
        <w:t>significant</w:t>
      </w:r>
      <w:r>
        <w:rPr>
          <w:sz w:val="20"/>
        </w:rPr>
        <w:t>ly</w:t>
      </w:r>
      <w:r w:rsidR="00E325D7">
        <w:rPr>
          <w:sz w:val="20"/>
        </w:rPr>
        <w:t xml:space="preserve"> emotional</w:t>
      </w:r>
      <w:r>
        <w:rPr>
          <w:sz w:val="20"/>
        </w:rPr>
        <w:t>ly</w:t>
      </w:r>
      <w:r w:rsidR="00E325D7">
        <w:rPr>
          <w:sz w:val="20"/>
        </w:rPr>
        <w:t xml:space="preserve"> or psychological</w:t>
      </w:r>
      <w:r>
        <w:rPr>
          <w:sz w:val="20"/>
        </w:rPr>
        <w:t>ly</w:t>
      </w:r>
      <w:r w:rsidR="00E325D7">
        <w:rPr>
          <w:sz w:val="20"/>
        </w:rPr>
        <w:t xml:space="preserve"> harm</w:t>
      </w:r>
      <w:r>
        <w:rPr>
          <w:sz w:val="20"/>
        </w:rPr>
        <w:t xml:space="preserve">ed by </w:t>
      </w:r>
      <w:r w:rsidR="002223C5">
        <w:rPr>
          <w:sz w:val="20"/>
        </w:rPr>
        <w:t xml:space="preserve">behaviour, such as </w:t>
      </w:r>
      <w:r>
        <w:rPr>
          <w:sz w:val="20"/>
        </w:rPr>
        <w:t>sexual offences, sexual misconduct, physical violence and significant neglect</w:t>
      </w:r>
      <w:r w:rsidR="00E325D7">
        <w:rPr>
          <w:sz w:val="20"/>
        </w:rPr>
        <w:t>.</w:t>
      </w:r>
      <w:r w:rsidR="007F0D7C">
        <w:rPr>
          <w:sz w:val="20"/>
        </w:rPr>
        <w:t xml:space="preserve"> </w:t>
      </w:r>
      <w:r>
        <w:rPr>
          <w:sz w:val="20"/>
        </w:rPr>
        <w:t>However, o</w:t>
      </w:r>
      <w:r w:rsidR="00E325D7">
        <w:rPr>
          <w:sz w:val="20"/>
        </w:rPr>
        <w:t xml:space="preserve">ther types of behaviours </w:t>
      </w:r>
      <w:r w:rsidR="00AD01C1">
        <w:rPr>
          <w:sz w:val="20"/>
        </w:rPr>
        <w:t xml:space="preserve">can also cause </w:t>
      </w:r>
      <w:r w:rsidR="00E325D7">
        <w:rPr>
          <w:sz w:val="20"/>
        </w:rPr>
        <w:t>significant emotional and psychological harm to a child</w:t>
      </w:r>
      <w:r>
        <w:rPr>
          <w:sz w:val="20"/>
        </w:rPr>
        <w:t>,</w:t>
      </w:r>
      <w:r w:rsidR="00AD01C1">
        <w:rPr>
          <w:sz w:val="20"/>
        </w:rPr>
        <w:t xml:space="preserve"> </w:t>
      </w:r>
      <w:r>
        <w:rPr>
          <w:sz w:val="20"/>
        </w:rPr>
        <w:t xml:space="preserve">for example, </w:t>
      </w:r>
      <w:r w:rsidR="00E325D7">
        <w:rPr>
          <w:sz w:val="20"/>
        </w:rPr>
        <w:t>severe or sustained</w:t>
      </w:r>
      <w:r w:rsidR="00AD01C1">
        <w:rPr>
          <w:sz w:val="20"/>
        </w:rPr>
        <w:t xml:space="preserve"> instances of</w:t>
      </w:r>
      <w:r w:rsidR="00E325D7">
        <w:rPr>
          <w:sz w:val="20"/>
        </w:rPr>
        <w:t>:</w:t>
      </w:r>
    </w:p>
    <w:p w:rsidR="00E325D7" w:rsidRDefault="00E325D7" w:rsidP="00E325D7">
      <w:pPr>
        <w:pStyle w:val="CCYPBulletsIndent"/>
        <w:rPr>
          <w:sz w:val="20"/>
        </w:rPr>
      </w:pPr>
      <w:r>
        <w:rPr>
          <w:sz w:val="20"/>
        </w:rPr>
        <w:t>verbal abuse</w:t>
      </w:r>
    </w:p>
    <w:p w:rsidR="00E325D7" w:rsidRDefault="00E325D7" w:rsidP="00E325D7">
      <w:pPr>
        <w:pStyle w:val="CCYPBulletsIndent"/>
        <w:rPr>
          <w:sz w:val="20"/>
        </w:rPr>
      </w:pPr>
      <w:r>
        <w:rPr>
          <w:sz w:val="20"/>
        </w:rPr>
        <w:t>coercive or manipulative behaviour</w:t>
      </w:r>
    </w:p>
    <w:p w:rsidR="00E325D7" w:rsidRDefault="00E325D7" w:rsidP="00E325D7">
      <w:pPr>
        <w:pStyle w:val="CCYPBulletsIndent"/>
        <w:rPr>
          <w:sz w:val="20"/>
        </w:rPr>
      </w:pPr>
      <w:r>
        <w:rPr>
          <w:sz w:val="20"/>
        </w:rPr>
        <w:t>hostility towards, or rejection of, a child</w:t>
      </w:r>
    </w:p>
    <w:p w:rsidR="0044241D" w:rsidRPr="0044241D" w:rsidRDefault="00E325D7" w:rsidP="0044241D">
      <w:pPr>
        <w:pStyle w:val="CCYPBulletsIndent"/>
        <w:rPr>
          <w:sz w:val="20"/>
        </w:rPr>
      </w:pPr>
      <w:r w:rsidRPr="0044241D">
        <w:rPr>
          <w:sz w:val="20"/>
        </w:rPr>
        <w:t>humiliation</w:t>
      </w:r>
      <w:r w:rsidR="0044241D" w:rsidRPr="0044241D">
        <w:rPr>
          <w:sz w:val="20"/>
        </w:rPr>
        <w:t>,</w:t>
      </w:r>
      <w:r w:rsidRPr="0044241D">
        <w:rPr>
          <w:sz w:val="20"/>
        </w:rPr>
        <w:t xml:space="preserve"> belittling</w:t>
      </w:r>
      <w:r w:rsidR="0044241D" w:rsidRPr="0044241D">
        <w:rPr>
          <w:sz w:val="20"/>
        </w:rPr>
        <w:t xml:space="preserve"> or </w:t>
      </w:r>
      <w:r w:rsidRPr="0044241D">
        <w:rPr>
          <w:sz w:val="20"/>
        </w:rPr>
        <w:t>scapegoating.</w:t>
      </w:r>
    </w:p>
    <w:p w:rsidR="00420C54" w:rsidRPr="00137662" w:rsidRDefault="002223C5" w:rsidP="00420C54">
      <w:pPr>
        <w:pStyle w:val="Heading3"/>
      </w:pPr>
      <w:r>
        <w:t xml:space="preserve">There must be a clear link between the </w:t>
      </w:r>
      <w:r w:rsidR="00B5562F">
        <w:t>b</w:t>
      </w:r>
      <w:r w:rsidR="00420C54">
        <w:t xml:space="preserve">ehaviour </w:t>
      </w:r>
      <w:r>
        <w:t xml:space="preserve">and the </w:t>
      </w:r>
      <w:r w:rsidR="00420C54">
        <w:t>harm</w:t>
      </w:r>
    </w:p>
    <w:p w:rsidR="00420C54" w:rsidRPr="00137662" w:rsidRDefault="00AD01C1" w:rsidP="00420C54">
      <w:pPr>
        <w:rPr>
          <w:sz w:val="20"/>
        </w:rPr>
      </w:pPr>
      <w:r>
        <w:rPr>
          <w:sz w:val="20"/>
        </w:rPr>
        <w:t>T</w:t>
      </w:r>
      <w:r w:rsidR="00420C54" w:rsidRPr="00137662">
        <w:rPr>
          <w:sz w:val="20"/>
        </w:rPr>
        <w:t>here</w:t>
      </w:r>
      <w:r w:rsidR="00B5562F">
        <w:rPr>
          <w:sz w:val="20"/>
        </w:rPr>
        <w:t xml:space="preserve"> </w:t>
      </w:r>
      <w:r w:rsidR="00420C54" w:rsidRPr="00137662">
        <w:rPr>
          <w:sz w:val="20"/>
        </w:rPr>
        <w:t xml:space="preserve">must be a clear link between </w:t>
      </w:r>
      <w:r w:rsidR="00E812F3">
        <w:rPr>
          <w:sz w:val="20"/>
        </w:rPr>
        <w:t xml:space="preserve">the alleged behaviour and </w:t>
      </w:r>
      <w:r w:rsidR="00420C54" w:rsidRPr="00137662">
        <w:rPr>
          <w:sz w:val="20"/>
        </w:rPr>
        <w:t xml:space="preserve">the emotional or psychological harm. </w:t>
      </w:r>
      <w:r w:rsidR="0044241D">
        <w:rPr>
          <w:sz w:val="20"/>
        </w:rPr>
        <w:t xml:space="preserve">In deciding whether there is a clear link, it may be helpful to consider </w:t>
      </w:r>
      <w:r w:rsidR="00420C54" w:rsidRPr="00137662">
        <w:rPr>
          <w:sz w:val="20"/>
        </w:rPr>
        <w:t xml:space="preserve">the likelihood that the child would have been harmed if the alleged </w:t>
      </w:r>
      <w:r w:rsidR="002223C5">
        <w:rPr>
          <w:sz w:val="20"/>
        </w:rPr>
        <w:t>behaviour</w:t>
      </w:r>
      <w:r w:rsidR="002223C5" w:rsidRPr="00137662">
        <w:rPr>
          <w:sz w:val="20"/>
        </w:rPr>
        <w:t xml:space="preserve"> </w:t>
      </w:r>
      <w:r w:rsidR="00420C54" w:rsidRPr="00137662">
        <w:rPr>
          <w:sz w:val="20"/>
        </w:rPr>
        <w:t>had not occurred</w:t>
      </w:r>
      <w:r w:rsidR="0044241D">
        <w:rPr>
          <w:sz w:val="20"/>
        </w:rPr>
        <w:t>.</w:t>
      </w:r>
      <w:r w:rsidR="00906677">
        <w:rPr>
          <w:sz w:val="20"/>
        </w:rPr>
        <w:t xml:space="preserve"> </w:t>
      </w:r>
    </w:p>
    <w:p w:rsidR="0044241D" w:rsidRDefault="00420C54" w:rsidP="00420C54">
      <w:pPr>
        <w:pStyle w:val="CCYPBulletsIndent"/>
        <w:numPr>
          <w:ilvl w:val="0"/>
          <w:numId w:val="0"/>
        </w:numPr>
        <w:rPr>
          <w:sz w:val="20"/>
        </w:rPr>
      </w:pPr>
      <w:r w:rsidRPr="00252CE5">
        <w:rPr>
          <w:sz w:val="20"/>
        </w:rPr>
        <w:t xml:space="preserve">Emotional or psychological harm may </w:t>
      </w:r>
      <w:r w:rsidR="00906677">
        <w:rPr>
          <w:sz w:val="20"/>
        </w:rPr>
        <w:t xml:space="preserve">also </w:t>
      </w:r>
      <w:r w:rsidRPr="00252CE5">
        <w:rPr>
          <w:sz w:val="20"/>
        </w:rPr>
        <w:t>be caused where an existing mental health disorder, such as anxiety or depression, has been exacerbated.</w:t>
      </w:r>
    </w:p>
    <w:p w:rsidR="00B5562F" w:rsidRPr="00137662" w:rsidRDefault="00AD01C1" w:rsidP="000F454A">
      <w:pPr>
        <w:rPr>
          <w:sz w:val="20"/>
        </w:rPr>
      </w:pPr>
      <w:r>
        <w:rPr>
          <w:sz w:val="20"/>
        </w:rPr>
        <w:t xml:space="preserve">A child may display physical or behavioural signs </w:t>
      </w:r>
      <w:r w:rsidR="00906677">
        <w:rPr>
          <w:sz w:val="20"/>
        </w:rPr>
        <w:t>that</w:t>
      </w:r>
      <w:r w:rsidR="00B5562F">
        <w:rPr>
          <w:sz w:val="20"/>
        </w:rPr>
        <w:t xml:space="preserve"> suggest they may </w:t>
      </w:r>
      <w:r>
        <w:rPr>
          <w:sz w:val="20"/>
        </w:rPr>
        <w:t xml:space="preserve">have </w:t>
      </w:r>
      <w:r w:rsidR="00B5562F">
        <w:rPr>
          <w:sz w:val="20"/>
        </w:rPr>
        <w:t xml:space="preserve">experienced behaviour </w:t>
      </w:r>
      <w:r w:rsidR="00906677">
        <w:rPr>
          <w:sz w:val="20"/>
        </w:rPr>
        <w:t>which</w:t>
      </w:r>
      <w:r w:rsidR="00B5562F">
        <w:rPr>
          <w:sz w:val="20"/>
        </w:rPr>
        <w:t xml:space="preserve"> has caused </w:t>
      </w:r>
      <w:r w:rsidR="00906677">
        <w:rPr>
          <w:sz w:val="20"/>
        </w:rPr>
        <w:t xml:space="preserve">them </w:t>
      </w:r>
      <w:r w:rsidR="00B5562F">
        <w:rPr>
          <w:sz w:val="20"/>
        </w:rPr>
        <w:t>significant emotional or psychological harm. These signs may include:</w:t>
      </w:r>
    </w:p>
    <w:p w:rsidR="0087301D" w:rsidRDefault="0087301D" w:rsidP="008C6040">
      <w:pPr>
        <w:pStyle w:val="CCYPBulletsIndent"/>
        <w:rPr>
          <w:sz w:val="20"/>
        </w:rPr>
      </w:pPr>
      <w:r>
        <w:rPr>
          <w:sz w:val="20"/>
        </w:rPr>
        <w:t>suicidal action</w:t>
      </w:r>
      <w:r w:rsidR="00252CE5">
        <w:rPr>
          <w:sz w:val="20"/>
        </w:rPr>
        <w:t>,</w:t>
      </w:r>
      <w:r w:rsidR="00252CE5" w:rsidRPr="00252CE5">
        <w:rPr>
          <w:sz w:val="20"/>
        </w:rPr>
        <w:t xml:space="preserve"> </w:t>
      </w:r>
      <w:r w:rsidR="00252CE5">
        <w:rPr>
          <w:sz w:val="20"/>
        </w:rPr>
        <w:t xml:space="preserve">suicidal ideation or self-harm </w:t>
      </w:r>
    </w:p>
    <w:p w:rsidR="003E6718" w:rsidRDefault="001A6714" w:rsidP="008C6040">
      <w:pPr>
        <w:pStyle w:val="CCYPBulletsIndent"/>
        <w:rPr>
          <w:sz w:val="20"/>
        </w:rPr>
      </w:pPr>
      <w:r w:rsidRPr="00137662">
        <w:rPr>
          <w:sz w:val="20"/>
        </w:rPr>
        <w:t>p</w:t>
      </w:r>
      <w:r w:rsidR="003E6718" w:rsidRPr="00137662">
        <w:rPr>
          <w:sz w:val="20"/>
        </w:rPr>
        <w:t>atterns of out</w:t>
      </w:r>
      <w:r w:rsidR="00E635C3" w:rsidRPr="00137662">
        <w:rPr>
          <w:sz w:val="20"/>
        </w:rPr>
        <w:t>-</w:t>
      </w:r>
      <w:r w:rsidR="003E6718" w:rsidRPr="00137662">
        <w:rPr>
          <w:sz w:val="20"/>
        </w:rPr>
        <w:t>of</w:t>
      </w:r>
      <w:r w:rsidR="00E635C3" w:rsidRPr="00137662">
        <w:rPr>
          <w:sz w:val="20"/>
        </w:rPr>
        <w:t>-</w:t>
      </w:r>
      <w:r w:rsidR="003E6718" w:rsidRPr="00137662">
        <w:rPr>
          <w:sz w:val="20"/>
        </w:rPr>
        <w:t>character</w:t>
      </w:r>
      <w:r w:rsidR="00252CE5">
        <w:rPr>
          <w:sz w:val="20"/>
        </w:rPr>
        <w:t>, self-destructive, antisocial, or anxious</w:t>
      </w:r>
      <w:r w:rsidR="003E6718" w:rsidRPr="00137662">
        <w:rPr>
          <w:sz w:val="20"/>
        </w:rPr>
        <w:t xml:space="preserve"> behaviour</w:t>
      </w:r>
      <w:r w:rsidR="00252CE5">
        <w:rPr>
          <w:sz w:val="20"/>
        </w:rPr>
        <w:t xml:space="preserve"> </w:t>
      </w:r>
    </w:p>
    <w:p w:rsidR="00B5562F" w:rsidRPr="00137662" w:rsidRDefault="00906677" w:rsidP="008C6040">
      <w:pPr>
        <w:pStyle w:val="CCYPBulletsIndent"/>
        <w:rPr>
          <w:sz w:val="20"/>
        </w:rPr>
      </w:pPr>
      <w:r>
        <w:rPr>
          <w:sz w:val="20"/>
        </w:rPr>
        <w:t>ongoing</w:t>
      </w:r>
      <w:r w:rsidR="00B5562F">
        <w:rPr>
          <w:sz w:val="20"/>
        </w:rPr>
        <w:t xml:space="preserve"> sleep disturbance, nightmares or bedwetting</w:t>
      </w:r>
    </w:p>
    <w:p w:rsidR="003E6718" w:rsidRDefault="001A6714" w:rsidP="008C6040">
      <w:pPr>
        <w:pStyle w:val="CCYPBulletsIndent"/>
        <w:rPr>
          <w:sz w:val="20"/>
        </w:rPr>
      </w:pPr>
      <w:r w:rsidRPr="00137662">
        <w:rPr>
          <w:sz w:val="20"/>
        </w:rPr>
        <w:t>r</w:t>
      </w:r>
      <w:r w:rsidR="003E6718" w:rsidRPr="00137662">
        <w:rPr>
          <w:sz w:val="20"/>
        </w:rPr>
        <w:t>egression in behaviour</w:t>
      </w:r>
      <w:r w:rsidR="00B5562F">
        <w:rPr>
          <w:sz w:val="20"/>
        </w:rPr>
        <w:t>.</w:t>
      </w:r>
    </w:p>
    <w:p w:rsidR="00573784" w:rsidRDefault="00B5562F" w:rsidP="0044241D">
      <w:pPr>
        <w:pStyle w:val="Heading3"/>
      </w:pPr>
      <w:r>
        <w:lastRenderedPageBreak/>
        <w:t xml:space="preserve">The </w:t>
      </w:r>
      <w:r w:rsidR="00252CE5">
        <w:t>harm</w:t>
      </w:r>
      <w:r>
        <w:t xml:space="preserve"> must be </w:t>
      </w:r>
      <w:r w:rsidR="00645B6A">
        <w:t>‘</w:t>
      </w:r>
      <w:r>
        <w:t>significant</w:t>
      </w:r>
      <w:r w:rsidR="00645B6A">
        <w:t>’</w:t>
      </w:r>
    </w:p>
    <w:p w:rsidR="005B78EF" w:rsidRPr="00E833E3" w:rsidRDefault="002223C5" w:rsidP="0087301D">
      <w:pPr>
        <w:rPr>
          <w:sz w:val="20"/>
        </w:rPr>
      </w:pPr>
      <w:r>
        <w:rPr>
          <w:sz w:val="20"/>
        </w:rPr>
        <w:t xml:space="preserve">Allegations that are reportable under this category must concern </w:t>
      </w:r>
      <w:r w:rsidRPr="00FB2D9B">
        <w:rPr>
          <w:i/>
          <w:sz w:val="20"/>
        </w:rPr>
        <w:t>significant</w:t>
      </w:r>
      <w:r>
        <w:rPr>
          <w:sz w:val="20"/>
        </w:rPr>
        <w:t xml:space="preserve"> emotional or psychological harm. </w:t>
      </w:r>
      <w:r w:rsidR="00E833E3">
        <w:rPr>
          <w:sz w:val="20"/>
        </w:rPr>
        <w:t xml:space="preserve">To be considered significant under the scheme, the </w:t>
      </w:r>
      <w:r w:rsidR="00E812F3">
        <w:rPr>
          <w:sz w:val="20"/>
        </w:rPr>
        <w:t>alleged</w:t>
      </w:r>
      <w:r w:rsidR="00E833E3">
        <w:rPr>
          <w:sz w:val="20"/>
        </w:rPr>
        <w:t xml:space="preserve"> harm </w:t>
      </w:r>
      <w:r w:rsidR="00E812F3">
        <w:rPr>
          <w:sz w:val="20"/>
        </w:rPr>
        <w:t xml:space="preserve">must be </w:t>
      </w:r>
      <w:r w:rsidR="00E833E3">
        <w:rPr>
          <w:sz w:val="20"/>
        </w:rPr>
        <w:t xml:space="preserve">more than </w:t>
      </w:r>
      <w:r w:rsidR="00E833E3" w:rsidRPr="00FB2D9B">
        <w:rPr>
          <w:i/>
          <w:sz w:val="20"/>
        </w:rPr>
        <w:t>trivial</w:t>
      </w:r>
      <w:r w:rsidR="00E833E3">
        <w:rPr>
          <w:sz w:val="20"/>
        </w:rPr>
        <w:t xml:space="preserve"> or </w:t>
      </w:r>
      <w:r w:rsidR="00E833E3" w:rsidRPr="00FB2D9B">
        <w:rPr>
          <w:i/>
          <w:sz w:val="20"/>
        </w:rPr>
        <w:t>temporary</w:t>
      </w:r>
      <w:r w:rsidR="005B78EF">
        <w:rPr>
          <w:sz w:val="20"/>
        </w:rPr>
        <w:t>.</w:t>
      </w:r>
    </w:p>
    <w:p w:rsidR="0087301D" w:rsidRPr="00137662" w:rsidRDefault="0087301D" w:rsidP="0087301D">
      <w:pPr>
        <w:rPr>
          <w:sz w:val="20"/>
        </w:rPr>
      </w:pPr>
      <w:r w:rsidRPr="00137662">
        <w:rPr>
          <w:sz w:val="20"/>
        </w:rPr>
        <w:t xml:space="preserve">We encourage </w:t>
      </w:r>
      <w:r w:rsidR="00692AEB">
        <w:rPr>
          <w:sz w:val="20"/>
        </w:rPr>
        <w:t>organisations</w:t>
      </w:r>
      <w:r w:rsidR="001640D7">
        <w:rPr>
          <w:sz w:val="20"/>
        </w:rPr>
        <w:t xml:space="preserve"> </w:t>
      </w:r>
      <w:r w:rsidRPr="00137662">
        <w:rPr>
          <w:sz w:val="20"/>
        </w:rPr>
        <w:t xml:space="preserve">to consult with </w:t>
      </w:r>
      <w:r w:rsidR="001640D7">
        <w:rPr>
          <w:sz w:val="20"/>
        </w:rPr>
        <w:t xml:space="preserve">us if you </w:t>
      </w:r>
      <w:r w:rsidRPr="00137662">
        <w:rPr>
          <w:sz w:val="20"/>
        </w:rPr>
        <w:t>need assistance to determine if the alleg</w:t>
      </w:r>
      <w:r w:rsidR="001640D7">
        <w:rPr>
          <w:sz w:val="20"/>
        </w:rPr>
        <w:t xml:space="preserve">ation </w:t>
      </w:r>
      <w:r w:rsidR="0044241D">
        <w:rPr>
          <w:sz w:val="20"/>
        </w:rPr>
        <w:t>involves significant emotional or psychological harm</w:t>
      </w:r>
      <w:r w:rsidRPr="00137662">
        <w:rPr>
          <w:sz w:val="20"/>
        </w:rPr>
        <w:t>.</w:t>
      </w:r>
    </w:p>
    <w:p w:rsidR="000F454A" w:rsidRPr="00137662" w:rsidRDefault="000F454A" w:rsidP="000F454A">
      <w:pPr>
        <w:rPr>
          <w:sz w:val="20"/>
        </w:rPr>
      </w:pPr>
      <w:r w:rsidRPr="00137662">
        <w:rPr>
          <w:sz w:val="20"/>
        </w:rPr>
        <w:t xml:space="preserve">A professional psychological or medical assessment of the child may assist to determine whether </w:t>
      </w:r>
      <w:r w:rsidR="001640D7">
        <w:rPr>
          <w:sz w:val="20"/>
        </w:rPr>
        <w:t>they have</w:t>
      </w:r>
      <w:r w:rsidRPr="00137662">
        <w:rPr>
          <w:sz w:val="20"/>
        </w:rPr>
        <w:t xml:space="preserve"> suffered </w:t>
      </w:r>
      <w:r w:rsidR="00252CE5">
        <w:rPr>
          <w:sz w:val="20"/>
        </w:rPr>
        <w:t xml:space="preserve">significant </w:t>
      </w:r>
      <w:r w:rsidRPr="00137662">
        <w:rPr>
          <w:sz w:val="20"/>
        </w:rPr>
        <w:t>emotional or psychological harm. However, a clinical diagnosis will not be required in every case</w:t>
      </w:r>
      <w:r w:rsidR="005B78EF">
        <w:rPr>
          <w:sz w:val="20"/>
        </w:rPr>
        <w:t>, f</w:t>
      </w:r>
      <w:r w:rsidRPr="00137662">
        <w:rPr>
          <w:sz w:val="20"/>
        </w:rPr>
        <w:t>or example</w:t>
      </w:r>
      <w:r w:rsidR="00692AEB">
        <w:rPr>
          <w:sz w:val="20"/>
        </w:rPr>
        <w:t xml:space="preserve"> where</w:t>
      </w:r>
      <w:r w:rsidRPr="00137662">
        <w:rPr>
          <w:sz w:val="20"/>
        </w:rPr>
        <w:t>:</w:t>
      </w:r>
    </w:p>
    <w:p w:rsidR="000F454A" w:rsidRPr="00137662" w:rsidRDefault="005A6678" w:rsidP="008C6040">
      <w:pPr>
        <w:pStyle w:val="CCYPBulletsIndent"/>
        <w:rPr>
          <w:sz w:val="20"/>
        </w:rPr>
      </w:pPr>
      <w:r w:rsidRPr="00137662">
        <w:rPr>
          <w:sz w:val="20"/>
        </w:rPr>
        <w:t>t</w:t>
      </w:r>
      <w:r w:rsidR="000F454A" w:rsidRPr="00137662">
        <w:rPr>
          <w:sz w:val="20"/>
        </w:rPr>
        <w:t xml:space="preserve">he alleged </w:t>
      </w:r>
      <w:r w:rsidR="002223C5">
        <w:rPr>
          <w:sz w:val="20"/>
        </w:rPr>
        <w:t>behaviour</w:t>
      </w:r>
      <w:r w:rsidR="002223C5" w:rsidRPr="00137662">
        <w:rPr>
          <w:sz w:val="20"/>
        </w:rPr>
        <w:t xml:space="preserve"> </w:t>
      </w:r>
      <w:r w:rsidR="000F454A" w:rsidRPr="00137662">
        <w:rPr>
          <w:sz w:val="20"/>
        </w:rPr>
        <w:t>is so serious and/or occurred over such a sustained period</w:t>
      </w:r>
      <w:r w:rsidR="009F600D" w:rsidRPr="00137662">
        <w:rPr>
          <w:sz w:val="20"/>
        </w:rPr>
        <w:t>,</w:t>
      </w:r>
      <w:r w:rsidR="000F454A" w:rsidRPr="00137662">
        <w:rPr>
          <w:sz w:val="20"/>
        </w:rPr>
        <w:t xml:space="preserve"> that it can be reasonably inferred that the child h</w:t>
      </w:r>
      <w:r w:rsidR="009F600D" w:rsidRPr="00137662">
        <w:rPr>
          <w:sz w:val="20"/>
        </w:rPr>
        <w:t>as been harmed</w:t>
      </w:r>
      <w:r w:rsidR="00252CE5">
        <w:rPr>
          <w:sz w:val="20"/>
        </w:rPr>
        <w:t>,</w:t>
      </w:r>
      <w:r w:rsidR="000F454A" w:rsidRPr="00137662">
        <w:rPr>
          <w:sz w:val="20"/>
        </w:rPr>
        <w:t xml:space="preserve"> </w:t>
      </w:r>
      <w:r w:rsidR="00692AEB">
        <w:rPr>
          <w:sz w:val="20"/>
        </w:rPr>
        <w:t>or</w:t>
      </w:r>
    </w:p>
    <w:p w:rsidR="000F454A" w:rsidRDefault="00B5562F" w:rsidP="008C6040">
      <w:pPr>
        <w:pStyle w:val="CCYPBulletsIndent"/>
        <w:rPr>
          <w:sz w:val="20"/>
        </w:rPr>
      </w:pPr>
      <w:r>
        <w:rPr>
          <w:sz w:val="20"/>
        </w:rPr>
        <w:t>assessment</w:t>
      </w:r>
      <w:r w:rsidR="000F454A" w:rsidRPr="00137662">
        <w:rPr>
          <w:sz w:val="20"/>
        </w:rPr>
        <w:t xml:space="preserve"> may </w:t>
      </w:r>
      <w:r w:rsidR="009F600D" w:rsidRPr="00137662">
        <w:rPr>
          <w:sz w:val="20"/>
        </w:rPr>
        <w:t xml:space="preserve">unreasonably </w:t>
      </w:r>
      <w:r w:rsidR="00C60062" w:rsidRPr="00137662">
        <w:rPr>
          <w:sz w:val="20"/>
        </w:rPr>
        <w:t>re-traumatise</w:t>
      </w:r>
      <w:r w:rsidR="009F600D" w:rsidRPr="00137662">
        <w:rPr>
          <w:sz w:val="20"/>
        </w:rPr>
        <w:t xml:space="preserve"> or other</w:t>
      </w:r>
      <w:r w:rsidR="00C60062" w:rsidRPr="00137662">
        <w:rPr>
          <w:sz w:val="20"/>
        </w:rPr>
        <w:t>wise</w:t>
      </w:r>
      <w:r w:rsidR="009F600D" w:rsidRPr="00137662">
        <w:rPr>
          <w:sz w:val="20"/>
        </w:rPr>
        <w:t xml:space="preserve"> </w:t>
      </w:r>
      <w:r w:rsidR="000F454A" w:rsidRPr="00137662">
        <w:rPr>
          <w:sz w:val="20"/>
        </w:rPr>
        <w:t>further harm</w:t>
      </w:r>
      <w:r w:rsidR="00C60062" w:rsidRPr="00137662">
        <w:rPr>
          <w:sz w:val="20"/>
        </w:rPr>
        <w:t xml:space="preserve"> the child</w:t>
      </w:r>
      <w:r w:rsidR="000F454A" w:rsidRPr="00137662">
        <w:rPr>
          <w:sz w:val="20"/>
        </w:rPr>
        <w:t xml:space="preserve">. </w:t>
      </w:r>
    </w:p>
    <w:p w:rsidR="00252CE5" w:rsidRPr="00137662" w:rsidRDefault="00252CE5" w:rsidP="0044241D">
      <w:pPr>
        <w:pStyle w:val="Heading3"/>
      </w:pPr>
      <w:r>
        <w:t>Exceptions</w:t>
      </w:r>
    </w:p>
    <w:p w:rsidR="0020404E" w:rsidRPr="00137662" w:rsidRDefault="0044241D" w:rsidP="001E54BA">
      <w:pPr>
        <w:rPr>
          <w:sz w:val="20"/>
        </w:rPr>
      </w:pPr>
      <w:r>
        <w:rPr>
          <w:sz w:val="20"/>
        </w:rPr>
        <w:t xml:space="preserve">An allegation </w:t>
      </w:r>
      <w:r w:rsidR="0020404E" w:rsidRPr="00137662">
        <w:rPr>
          <w:sz w:val="20"/>
        </w:rPr>
        <w:t xml:space="preserve">will not be </w:t>
      </w:r>
      <w:r w:rsidR="00975734" w:rsidRPr="00137662">
        <w:rPr>
          <w:sz w:val="20"/>
        </w:rPr>
        <w:t xml:space="preserve">reportable </w:t>
      </w:r>
      <w:r w:rsidR="00C60062" w:rsidRPr="00137662">
        <w:rPr>
          <w:sz w:val="20"/>
        </w:rPr>
        <w:t>if</w:t>
      </w:r>
      <w:r w:rsidR="0020404E" w:rsidRPr="00137662">
        <w:rPr>
          <w:sz w:val="20"/>
        </w:rPr>
        <w:t>:</w:t>
      </w:r>
    </w:p>
    <w:p w:rsidR="003E6718" w:rsidRPr="00137662" w:rsidRDefault="0044241D" w:rsidP="008C6040">
      <w:pPr>
        <w:pStyle w:val="CCYPBulletsIndent"/>
        <w:rPr>
          <w:sz w:val="20"/>
        </w:rPr>
      </w:pPr>
      <w:r>
        <w:rPr>
          <w:sz w:val="20"/>
        </w:rPr>
        <w:t>the worker</w:t>
      </w:r>
      <w:r w:rsidR="00975734" w:rsidRPr="00137662">
        <w:rPr>
          <w:sz w:val="20"/>
        </w:rPr>
        <w:t xml:space="preserve"> </w:t>
      </w:r>
      <w:r w:rsidR="00F1763A">
        <w:rPr>
          <w:sz w:val="20"/>
        </w:rPr>
        <w:t xml:space="preserve">or volunteer </w:t>
      </w:r>
      <w:r w:rsidR="001640D7">
        <w:rPr>
          <w:sz w:val="20"/>
        </w:rPr>
        <w:t xml:space="preserve">has </w:t>
      </w:r>
      <w:r w:rsidR="00975734" w:rsidRPr="00137662">
        <w:rPr>
          <w:sz w:val="20"/>
        </w:rPr>
        <w:t>take</w:t>
      </w:r>
      <w:r w:rsidR="001640D7">
        <w:rPr>
          <w:sz w:val="20"/>
        </w:rPr>
        <w:t>n</w:t>
      </w:r>
      <w:r w:rsidR="00975734" w:rsidRPr="00137662">
        <w:rPr>
          <w:sz w:val="20"/>
        </w:rPr>
        <w:t xml:space="preserve"> reasonable steps to protect a child from immediate harm</w:t>
      </w:r>
    </w:p>
    <w:p w:rsidR="0020404E" w:rsidRPr="00137662" w:rsidRDefault="0044241D" w:rsidP="008C6040">
      <w:pPr>
        <w:pStyle w:val="CCYPBulletsIndent"/>
        <w:rPr>
          <w:sz w:val="20"/>
        </w:rPr>
      </w:pPr>
      <w:r>
        <w:rPr>
          <w:sz w:val="20"/>
        </w:rPr>
        <w:t>the work</w:t>
      </w:r>
      <w:r w:rsidR="00E833E3">
        <w:rPr>
          <w:sz w:val="20"/>
        </w:rPr>
        <w:t>er</w:t>
      </w:r>
      <w:r w:rsidR="00C60062" w:rsidRPr="00137662">
        <w:rPr>
          <w:sz w:val="20"/>
        </w:rPr>
        <w:t xml:space="preserve"> </w:t>
      </w:r>
      <w:r w:rsidR="00F1763A">
        <w:rPr>
          <w:sz w:val="20"/>
        </w:rPr>
        <w:t xml:space="preserve">or volunteer </w:t>
      </w:r>
      <w:r>
        <w:rPr>
          <w:sz w:val="20"/>
        </w:rPr>
        <w:t xml:space="preserve">has </w:t>
      </w:r>
      <w:r w:rsidR="00975734" w:rsidRPr="00137662">
        <w:rPr>
          <w:sz w:val="20"/>
        </w:rPr>
        <w:t>responsibility for discipline</w:t>
      </w:r>
      <w:r>
        <w:rPr>
          <w:sz w:val="20"/>
        </w:rPr>
        <w:t xml:space="preserve"> and </w:t>
      </w:r>
      <w:r w:rsidR="001640D7">
        <w:rPr>
          <w:sz w:val="20"/>
        </w:rPr>
        <w:t>has taken</w:t>
      </w:r>
      <w:r w:rsidR="001640D7" w:rsidRPr="00137662">
        <w:rPr>
          <w:sz w:val="20"/>
        </w:rPr>
        <w:t xml:space="preserve"> </w:t>
      </w:r>
      <w:r w:rsidR="00975734" w:rsidRPr="00137662">
        <w:rPr>
          <w:sz w:val="20"/>
        </w:rPr>
        <w:t>l</w:t>
      </w:r>
      <w:r w:rsidR="00CC3554" w:rsidRPr="00137662">
        <w:rPr>
          <w:sz w:val="20"/>
        </w:rPr>
        <w:t xml:space="preserve">awful </w:t>
      </w:r>
      <w:r w:rsidR="009F600D" w:rsidRPr="00137662">
        <w:rPr>
          <w:sz w:val="20"/>
        </w:rPr>
        <w:t xml:space="preserve">and reasonable </w:t>
      </w:r>
      <w:r w:rsidR="00CC3554" w:rsidRPr="00137662">
        <w:rPr>
          <w:sz w:val="20"/>
        </w:rPr>
        <w:t>disciplinary action</w:t>
      </w:r>
      <w:r w:rsidR="0020404E" w:rsidRPr="00137662">
        <w:rPr>
          <w:sz w:val="20"/>
        </w:rPr>
        <w:t xml:space="preserve">, such </w:t>
      </w:r>
      <w:r w:rsidR="00CB77AD">
        <w:rPr>
          <w:sz w:val="20"/>
        </w:rPr>
        <w:t xml:space="preserve">as </w:t>
      </w:r>
      <w:r w:rsidR="0020404E" w:rsidRPr="00137662">
        <w:rPr>
          <w:sz w:val="20"/>
        </w:rPr>
        <w:t>sending a child to sit in ‘time out’ for a period of time, in line with organisational policy</w:t>
      </w:r>
    </w:p>
    <w:p w:rsidR="00975734" w:rsidRPr="00137662" w:rsidRDefault="0044241D" w:rsidP="00975734">
      <w:pPr>
        <w:pStyle w:val="CCYPBulletsIndent"/>
        <w:rPr>
          <w:sz w:val="20"/>
        </w:rPr>
      </w:pPr>
      <w:r>
        <w:rPr>
          <w:sz w:val="20"/>
        </w:rPr>
        <w:t>the worker</w:t>
      </w:r>
      <w:r w:rsidR="00F1763A">
        <w:rPr>
          <w:sz w:val="20"/>
        </w:rPr>
        <w:t xml:space="preserve"> or volunteer</w:t>
      </w:r>
      <w:r>
        <w:rPr>
          <w:sz w:val="20"/>
        </w:rPr>
        <w:t xml:space="preserve"> is </w:t>
      </w:r>
      <w:r w:rsidR="005A6678" w:rsidRPr="00137662">
        <w:rPr>
          <w:sz w:val="20"/>
        </w:rPr>
        <w:t>a</w:t>
      </w:r>
      <w:r w:rsidR="00975734" w:rsidRPr="00137662">
        <w:rPr>
          <w:sz w:val="20"/>
        </w:rPr>
        <w:t xml:space="preserve">n appropriately qualified </w:t>
      </w:r>
      <w:r w:rsidR="00645B6A">
        <w:rPr>
          <w:sz w:val="20"/>
        </w:rPr>
        <w:t>worker or volunteer</w:t>
      </w:r>
      <w:r w:rsidR="00645B6A" w:rsidRPr="00137662">
        <w:rPr>
          <w:sz w:val="20"/>
        </w:rPr>
        <w:t xml:space="preserve"> </w:t>
      </w:r>
      <w:r>
        <w:rPr>
          <w:sz w:val="20"/>
        </w:rPr>
        <w:t xml:space="preserve">who </w:t>
      </w:r>
      <w:r w:rsidR="001640D7">
        <w:rPr>
          <w:sz w:val="20"/>
        </w:rPr>
        <w:t>has given</w:t>
      </w:r>
      <w:r w:rsidR="001640D7" w:rsidRPr="00137662">
        <w:rPr>
          <w:sz w:val="20"/>
        </w:rPr>
        <w:t xml:space="preserve"> </w:t>
      </w:r>
      <w:r w:rsidR="00975734" w:rsidRPr="00137662">
        <w:rPr>
          <w:sz w:val="20"/>
        </w:rPr>
        <w:t>medical treatment in good faith, such as a senior first aid officer administerin</w:t>
      </w:r>
      <w:r w:rsidR="005A6678" w:rsidRPr="00137662">
        <w:rPr>
          <w:sz w:val="20"/>
        </w:rPr>
        <w:t>g first aid.</w:t>
      </w:r>
    </w:p>
    <w:p w:rsidR="00EA297F" w:rsidRDefault="00EA297F" w:rsidP="00EA297F">
      <w:pPr>
        <w:pStyle w:val="Heading2"/>
      </w:pPr>
      <w:r>
        <w:t xml:space="preserve">What is </w:t>
      </w:r>
      <w:r w:rsidR="00022BFA">
        <w:t xml:space="preserve">significant </w:t>
      </w:r>
      <w:r>
        <w:t>neglect?</w:t>
      </w:r>
      <w:bookmarkStart w:id="0" w:name="_GoBack"/>
      <w:bookmarkEnd w:id="0"/>
    </w:p>
    <w:p w:rsidR="00EA297F" w:rsidRPr="00137662" w:rsidRDefault="00B526EB" w:rsidP="00EA297F">
      <w:pPr>
        <w:rPr>
          <w:sz w:val="20"/>
        </w:rPr>
      </w:pPr>
      <w:r>
        <w:rPr>
          <w:sz w:val="20"/>
        </w:rPr>
        <w:t>Significant neglect occurs when there is a significant, deliberate or reckless failure to meet the basic needs of a child in circumstances where the adult understood the needs of the child, or could have understood those needs if they had turned their mind to the question, and had the opportunity to meet those needs but failed to do so.</w:t>
      </w:r>
    </w:p>
    <w:p w:rsidR="00C60062" w:rsidRPr="00137662" w:rsidRDefault="00C60062" w:rsidP="00385BB1">
      <w:pPr>
        <w:rPr>
          <w:sz w:val="20"/>
        </w:rPr>
      </w:pPr>
      <w:r w:rsidRPr="00137662">
        <w:rPr>
          <w:sz w:val="20"/>
        </w:rPr>
        <w:t xml:space="preserve">Examples of different types of neglect </w:t>
      </w:r>
      <w:r w:rsidR="00B526EB">
        <w:rPr>
          <w:sz w:val="20"/>
        </w:rPr>
        <w:t xml:space="preserve">could </w:t>
      </w:r>
      <w:r w:rsidRPr="00137662">
        <w:rPr>
          <w:sz w:val="20"/>
        </w:rPr>
        <w:t>include:</w:t>
      </w:r>
    </w:p>
    <w:p w:rsidR="00385BB1" w:rsidRPr="00137662" w:rsidRDefault="00B526EB" w:rsidP="008C6040">
      <w:pPr>
        <w:pStyle w:val="CCYPBulletsIndent"/>
        <w:rPr>
          <w:sz w:val="20"/>
        </w:rPr>
      </w:pPr>
      <w:r>
        <w:rPr>
          <w:sz w:val="20"/>
        </w:rPr>
        <w:t>S</w:t>
      </w:r>
      <w:r w:rsidR="00385BB1" w:rsidRPr="00137662">
        <w:rPr>
          <w:sz w:val="20"/>
        </w:rPr>
        <w:t>upervisory neglect</w:t>
      </w:r>
      <w:r>
        <w:rPr>
          <w:sz w:val="20"/>
        </w:rPr>
        <w:t>: This may occur when a person responsible for the care of a child in unable or unwilling to exercise adequate supervision or control of the child or young person, or fails to seek or comply with appropriate medical treatment.</w:t>
      </w:r>
      <w:r w:rsidR="00C60062" w:rsidRPr="00137662">
        <w:rPr>
          <w:sz w:val="20"/>
        </w:rPr>
        <w:t xml:space="preserve"> </w:t>
      </w:r>
    </w:p>
    <w:p w:rsidR="00385BB1" w:rsidRDefault="00B526EB" w:rsidP="008C6040">
      <w:pPr>
        <w:pStyle w:val="CCYPBulletsIndent"/>
        <w:rPr>
          <w:sz w:val="20"/>
        </w:rPr>
      </w:pPr>
      <w:r>
        <w:rPr>
          <w:sz w:val="20"/>
        </w:rPr>
        <w:t>P</w:t>
      </w:r>
      <w:r w:rsidR="00385BB1" w:rsidRPr="00137662">
        <w:rPr>
          <w:sz w:val="20"/>
        </w:rPr>
        <w:t>hysical neglect</w:t>
      </w:r>
      <w:r>
        <w:rPr>
          <w:sz w:val="20"/>
        </w:rPr>
        <w:t>:  This may occur where there</w:t>
      </w:r>
      <w:r w:rsidR="00385BB1" w:rsidRPr="00137662">
        <w:rPr>
          <w:sz w:val="20"/>
        </w:rPr>
        <w:t xml:space="preserve"> </w:t>
      </w:r>
      <w:r w:rsidR="00C60062" w:rsidRPr="00137662">
        <w:rPr>
          <w:sz w:val="20"/>
        </w:rPr>
        <w:t xml:space="preserve">is </w:t>
      </w:r>
      <w:r w:rsidR="00385BB1" w:rsidRPr="00137662">
        <w:rPr>
          <w:sz w:val="20"/>
        </w:rPr>
        <w:t xml:space="preserve">the failure to </w:t>
      </w:r>
      <w:r>
        <w:rPr>
          <w:sz w:val="20"/>
        </w:rPr>
        <w:t xml:space="preserve">meet a child’s </w:t>
      </w:r>
      <w:r w:rsidR="00385BB1" w:rsidRPr="00137662">
        <w:rPr>
          <w:sz w:val="20"/>
        </w:rPr>
        <w:t xml:space="preserve">physical </w:t>
      </w:r>
      <w:r>
        <w:rPr>
          <w:sz w:val="20"/>
        </w:rPr>
        <w:t>needs including the provision of adequate and appropriate food, clothing, shelter or physical hygiene needs</w:t>
      </w:r>
      <w:r w:rsidR="00F1763A">
        <w:rPr>
          <w:sz w:val="20"/>
        </w:rPr>
        <w:t>.</w:t>
      </w:r>
    </w:p>
    <w:p w:rsidR="00B526EB" w:rsidRDefault="00B526EB" w:rsidP="008C6040">
      <w:pPr>
        <w:pStyle w:val="CCYPBulletsIndent"/>
        <w:rPr>
          <w:sz w:val="20"/>
        </w:rPr>
      </w:pPr>
      <w:r>
        <w:rPr>
          <w:sz w:val="20"/>
        </w:rPr>
        <w:t>Educational neglect: This may occur when there is a failure to ensure that a child’s formal education needs are being met.</w:t>
      </w:r>
    </w:p>
    <w:p w:rsidR="00B526EB" w:rsidRDefault="00B526EB" w:rsidP="008C6040">
      <w:pPr>
        <w:pStyle w:val="CCYPBulletsIndent"/>
        <w:rPr>
          <w:sz w:val="20"/>
        </w:rPr>
      </w:pPr>
      <w:r>
        <w:rPr>
          <w:sz w:val="20"/>
        </w:rPr>
        <w:t>Emotional neglect: This may occur where there is a failure to provide adequate nurturing, affection encouragement and support to a child.</w:t>
      </w:r>
    </w:p>
    <w:p w:rsidR="0087301D" w:rsidRPr="00252CE5" w:rsidRDefault="00252CE5" w:rsidP="0044241D">
      <w:pPr>
        <w:pStyle w:val="Heading3"/>
      </w:pPr>
      <w:r>
        <w:t>‘</w:t>
      </w:r>
      <w:r w:rsidR="0087301D">
        <w:t>Significant</w:t>
      </w:r>
      <w:r>
        <w:t>’ neglect</w:t>
      </w:r>
    </w:p>
    <w:p w:rsidR="00885095" w:rsidRPr="00137662" w:rsidRDefault="00022BFA" w:rsidP="00022BFA">
      <w:pPr>
        <w:pStyle w:val="CCYPBulletsIndent"/>
        <w:numPr>
          <w:ilvl w:val="0"/>
          <w:numId w:val="0"/>
        </w:numPr>
        <w:rPr>
          <w:sz w:val="20"/>
        </w:rPr>
      </w:pPr>
      <w:r>
        <w:rPr>
          <w:sz w:val="20"/>
        </w:rPr>
        <w:t>Neglect will be significant where there has been a deliberate or reckless omission or omissions that separately or together have had, or could have, considerable force or effect on the safety or wellbeing of the child who is the victim of the neglect.  For detailed guidance on significant neglect together with some practical examples, please refer to Information sheet 11.</w:t>
      </w:r>
    </w:p>
    <w:p w:rsidR="00C87F2B" w:rsidRDefault="00C87F2B" w:rsidP="00C87F2B">
      <w:pPr>
        <w:pStyle w:val="Heading2"/>
      </w:pPr>
      <w:r>
        <w:t>What is a reasonable belief?</w:t>
      </w:r>
    </w:p>
    <w:p w:rsidR="00C87F2B" w:rsidRPr="00137662" w:rsidRDefault="00C87F2B" w:rsidP="00C87F2B">
      <w:pPr>
        <w:rPr>
          <w:sz w:val="20"/>
        </w:rPr>
      </w:pPr>
      <w:r w:rsidRPr="00137662">
        <w:rPr>
          <w:sz w:val="20"/>
        </w:rPr>
        <w:t xml:space="preserve">A reportable allegation </w:t>
      </w:r>
      <w:r w:rsidR="00087D66" w:rsidRPr="00137662">
        <w:rPr>
          <w:sz w:val="20"/>
        </w:rPr>
        <w:t xml:space="preserve">is made where </w:t>
      </w:r>
      <w:r w:rsidRPr="00137662">
        <w:rPr>
          <w:sz w:val="20"/>
        </w:rPr>
        <w:t xml:space="preserve">a person </w:t>
      </w:r>
      <w:r w:rsidR="00087D66" w:rsidRPr="00137662">
        <w:rPr>
          <w:sz w:val="20"/>
        </w:rPr>
        <w:t xml:space="preserve">makes an allegation, based on a reasonable belief, that </w:t>
      </w:r>
      <w:r w:rsidR="00C81E34" w:rsidRPr="00137662">
        <w:rPr>
          <w:sz w:val="20"/>
        </w:rPr>
        <w:t>a worker o</w:t>
      </w:r>
      <w:r w:rsidR="00645B6A">
        <w:rPr>
          <w:sz w:val="20"/>
        </w:rPr>
        <w:t>r</w:t>
      </w:r>
      <w:r w:rsidR="00C81E34" w:rsidRPr="00137662">
        <w:rPr>
          <w:sz w:val="20"/>
        </w:rPr>
        <w:t xml:space="preserve"> volunteer</w:t>
      </w:r>
      <w:r w:rsidRPr="00137662">
        <w:rPr>
          <w:sz w:val="20"/>
        </w:rPr>
        <w:t xml:space="preserve"> has committed reportable conduct or misconduct that </w:t>
      </w:r>
      <w:r w:rsidRPr="00137662">
        <w:rPr>
          <w:b/>
          <w:i/>
          <w:sz w:val="20"/>
        </w:rPr>
        <w:t>may</w:t>
      </w:r>
      <w:r w:rsidRPr="00137662">
        <w:rPr>
          <w:sz w:val="20"/>
        </w:rPr>
        <w:t xml:space="preserve"> involve reportable conduct. This includes where </w:t>
      </w:r>
      <w:r w:rsidR="00087D66" w:rsidRPr="00137662">
        <w:rPr>
          <w:sz w:val="20"/>
        </w:rPr>
        <w:t xml:space="preserve">a </w:t>
      </w:r>
      <w:r w:rsidRPr="00137662">
        <w:rPr>
          <w:sz w:val="20"/>
        </w:rPr>
        <w:t>reportable allegation is made against the head of the organisation.</w:t>
      </w:r>
    </w:p>
    <w:p w:rsidR="00370F38" w:rsidRPr="00137662" w:rsidRDefault="00C87F2B" w:rsidP="00C87F2B">
      <w:pPr>
        <w:rPr>
          <w:sz w:val="20"/>
        </w:rPr>
      </w:pPr>
      <w:r w:rsidRPr="00137662">
        <w:rPr>
          <w:sz w:val="20"/>
        </w:rPr>
        <w:t>A reasonable belief is more than suspicion. There must be some objective basis for the belief. However, it is not th</w:t>
      </w:r>
      <w:r w:rsidR="00CB77AD">
        <w:rPr>
          <w:sz w:val="20"/>
        </w:rPr>
        <w:t>e</w:t>
      </w:r>
      <w:r w:rsidRPr="00137662">
        <w:rPr>
          <w:sz w:val="20"/>
        </w:rPr>
        <w:t xml:space="preserve"> same as having proof and does not require certainty.</w:t>
      </w:r>
    </w:p>
    <w:p w:rsidR="00C87F2B" w:rsidRPr="00137662" w:rsidRDefault="00C87F2B" w:rsidP="00C87F2B">
      <w:pPr>
        <w:rPr>
          <w:sz w:val="20"/>
        </w:rPr>
      </w:pPr>
      <w:r w:rsidRPr="00137662">
        <w:rPr>
          <w:sz w:val="20"/>
        </w:rPr>
        <w:lastRenderedPageBreak/>
        <w:t>For example, a person is likely to have a reasonable belief if they:</w:t>
      </w:r>
    </w:p>
    <w:p w:rsidR="00C87F2B" w:rsidRPr="00137662" w:rsidRDefault="00C87F2B" w:rsidP="00C87F2B">
      <w:pPr>
        <w:pStyle w:val="CCYPBulletsIndent"/>
        <w:rPr>
          <w:sz w:val="20"/>
        </w:rPr>
      </w:pPr>
      <w:r w:rsidRPr="00137662">
        <w:rPr>
          <w:sz w:val="20"/>
        </w:rPr>
        <w:t>observed the conduct themselves</w:t>
      </w:r>
    </w:p>
    <w:p w:rsidR="00C87F2B" w:rsidRPr="00137662" w:rsidRDefault="00C87F2B" w:rsidP="00C87F2B">
      <w:pPr>
        <w:pStyle w:val="CCYPBulletsIndent"/>
        <w:rPr>
          <w:sz w:val="20"/>
        </w:rPr>
      </w:pPr>
      <w:r w:rsidRPr="00137662">
        <w:rPr>
          <w:sz w:val="20"/>
        </w:rPr>
        <w:t>heard directly from a child that the conduct occurred</w:t>
      </w:r>
    </w:p>
    <w:p w:rsidR="00C87F2B" w:rsidRPr="00137662" w:rsidRDefault="00C87F2B" w:rsidP="00C87F2B">
      <w:pPr>
        <w:pStyle w:val="CCYPBulletsIndent"/>
        <w:rPr>
          <w:sz w:val="20"/>
        </w:rPr>
      </w:pPr>
      <w:r w:rsidRPr="00137662">
        <w:rPr>
          <w:sz w:val="20"/>
        </w:rPr>
        <w:t xml:space="preserve">received information from another credible source (including another </w:t>
      </w:r>
      <w:r w:rsidR="00370F38">
        <w:rPr>
          <w:sz w:val="20"/>
        </w:rPr>
        <w:t>witness</w:t>
      </w:r>
      <w:r w:rsidRPr="00137662">
        <w:rPr>
          <w:sz w:val="20"/>
        </w:rPr>
        <w:t>).</w:t>
      </w:r>
    </w:p>
    <w:p w:rsidR="00087D66" w:rsidRPr="00137662" w:rsidRDefault="00087D66" w:rsidP="00A51C77">
      <w:pPr>
        <w:pStyle w:val="CCYPBulletsIndent"/>
        <w:numPr>
          <w:ilvl w:val="0"/>
          <w:numId w:val="0"/>
        </w:numPr>
        <w:rPr>
          <w:sz w:val="20"/>
        </w:rPr>
      </w:pPr>
      <w:r w:rsidRPr="00137662">
        <w:rPr>
          <w:sz w:val="20"/>
        </w:rPr>
        <w:t xml:space="preserve">Heads of entity do not need to agree with or share the belief that the alleged conduct has occurred. However, they </w:t>
      </w:r>
      <w:r w:rsidR="00E6535A" w:rsidRPr="00137662">
        <w:rPr>
          <w:sz w:val="20"/>
        </w:rPr>
        <w:t>do not need to notify the Commission about the allegation if it is plainly wrong or ha</w:t>
      </w:r>
      <w:r w:rsidR="00CB77AD">
        <w:rPr>
          <w:sz w:val="20"/>
        </w:rPr>
        <w:t>s</w:t>
      </w:r>
      <w:r w:rsidR="00E6535A" w:rsidRPr="00137662">
        <w:rPr>
          <w:sz w:val="20"/>
        </w:rPr>
        <w:t xml:space="preserve"> no basis at all in reality.</w:t>
      </w:r>
    </w:p>
    <w:p w:rsidR="006A3A58" w:rsidRPr="00CA25EF" w:rsidRDefault="006A3A58" w:rsidP="006A3A58">
      <w:pPr>
        <w:pStyle w:val="Heading2"/>
        <w:rPr>
          <w:lang w:val="en-AU"/>
        </w:rPr>
      </w:pPr>
      <w:r w:rsidRPr="00CA25EF">
        <w:rPr>
          <w:lang w:val="en-AU"/>
        </w:rPr>
        <w:t>Where to get help</w:t>
      </w:r>
    </w:p>
    <w:p w:rsidR="009366B6" w:rsidRPr="00137662" w:rsidRDefault="009366B6" w:rsidP="009366B6">
      <w:pPr>
        <w:rPr>
          <w:sz w:val="20"/>
          <w:lang w:val="en-AU"/>
        </w:rPr>
      </w:pPr>
      <w:r w:rsidRPr="00137662">
        <w:rPr>
          <w:sz w:val="20"/>
          <w:lang w:val="en-AU"/>
        </w:rPr>
        <w:t>Organisations covered by the Reportable Conduct Scheme should contact the Commission for clarification and guidance, and to talk through any issues of concern.</w:t>
      </w:r>
    </w:p>
    <w:p w:rsidR="009366B6" w:rsidRPr="00137662" w:rsidRDefault="009366B6" w:rsidP="009366B6">
      <w:pPr>
        <w:pStyle w:val="CCYPBulletsIndent"/>
        <w:rPr>
          <w:sz w:val="20"/>
          <w:lang w:val="en-AU"/>
        </w:rPr>
      </w:pPr>
      <w:r w:rsidRPr="00137662">
        <w:rPr>
          <w:sz w:val="20"/>
          <w:lang w:val="en-AU"/>
        </w:rPr>
        <w:t xml:space="preserve">Telephone: 8601 5281 </w:t>
      </w:r>
    </w:p>
    <w:p w:rsidR="009366B6" w:rsidRPr="00137662" w:rsidRDefault="009366B6" w:rsidP="009366B6">
      <w:pPr>
        <w:pStyle w:val="CCYPBulletsIndent"/>
        <w:rPr>
          <w:sz w:val="20"/>
          <w:lang w:val="en-AU"/>
        </w:rPr>
      </w:pPr>
      <w:r w:rsidRPr="00137662">
        <w:rPr>
          <w:sz w:val="20"/>
          <w:lang w:val="en-AU"/>
        </w:rPr>
        <w:t xml:space="preserve">Email: </w:t>
      </w:r>
      <w:hyperlink r:id="rId11" w:history="1">
        <w:r w:rsidR="00CB77AD">
          <w:rPr>
            <w:rStyle w:val="Hyperlink"/>
            <w:sz w:val="20"/>
          </w:rPr>
          <w:t>contact</w:t>
        </w:r>
        <w:r w:rsidR="00CB77AD" w:rsidRPr="00137662">
          <w:rPr>
            <w:rStyle w:val="Hyperlink"/>
            <w:sz w:val="20"/>
          </w:rPr>
          <w:t>@ccyp.vic.gov.au</w:t>
        </w:r>
      </w:hyperlink>
      <w:r w:rsidRPr="00137662">
        <w:rPr>
          <w:sz w:val="20"/>
        </w:rPr>
        <w:t xml:space="preserve"> </w:t>
      </w:r>
    </w:p>
    <w:p w:rsidR="009366B6" w:rsidRPr="00137662" w:rsidRDefault="009366B6" w:rsidP="009366B6">
      <w:pPr>
        <w:rPr>
          <w:rStyle w:val="Hyperlink"/>
          <w:sz w:val="20"/>
          <w:lang w:val="en-AU"/>
        </w:rPr>
      </w:pPr>
      <w:r w:rsidRPr="00137662">
        <w:rPr>
          <w:sz w:val="20"/>
          <w:lang w:val="en-AU"/>
        </w:rPr>
        <w:t xml:space="preserve">Further information is also available on the Commission for Children and Young People’s website at </w:t>
      </w:r>
      <w:hyperlink r:id="rId12" w:history="1">
        <w:r w:rsidRPr="00137662">
          <w:rPr>
            <w:rStyle w:val="Hyperlink"/>
            <w:sz w:val="20"/>
            <w:lang w:val="en-AU"/>
          </w:rPr>
          <w:t>www.ccyp.vic.gov.au</w:t>
        </w:r>
      </w:hyperlink>
    </w:p>
    <w:p w:rsidR="001E54BA" w:rsidRPr="001E54BA" w:rsidRDefault="001E54BA" w:rsidP="00F402A9">
      <w:pPr>
        <w:pStyle w:val="CCYPBulletsIndent"/>
        <w:numPr>
          <w:ilvl w:val="0"/>
          <w:numId w:val="0"/>
        </w:numPr>
      </w:pPr>
    </w:p>
    <w:sectPr w:rsidR="001E54BA" w:rsidRPr="001E54BA" w:rsidSect="00A51C77">
      <w:footerReference w:type="even" r:id="rId13"/>
      <w:footerReference w:type="default" r:id="rId14"/>
      <w:headerReference w:type="first" r:id="rId15"/>
      <w:footerReference w:type="first" r:id="rId16"/>
      <w:type w:val="continuous"/>
      <w:pgSz w:w="11900" w:h="16840"/>
      <w:pgMar w:top="851" w:right="851" w:bottom="1702" w:left="851"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98" w:rsidRDefault="00E65C98" w:rsidP="00A642F5">
      <w:pPr>
        <w:spacing w:before="0"/>
      </w:pPr>
      <w:r>
        <w:separator/>
      </w:r>
    </w:p>
  </w:endnote>
  <w:endnote w:type="continuationSeparator" w:id="0">
    <w:p w:rsidR="00E65C98" w:rsidRDefault="00E65C98"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FA" w:rsidRDefault="00022BFA" w:rsidP="00B526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BFA" w:rsidRDefault="00022BFA" w:rsidP="008E2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856"/>
      <w:gridCol w:w="142"/>
      <w:gridCol w:w="708"/>
      <w:gridCol w:w="172"/>
      <w:gridCol w:w="2522"/>
      <w:gridCol w:w="141"/>
      <w:gridCol w:w="1276"/>
      <w:gridCol w:w="142"/>
      <w:gridCol w:w="2278"/>
    </w:tblGrid>
    <w:tr w:rsidR="00022BFA" w:rsidTr="007337E1">
      <w:trPr>
        <w:trHeight w:val="361"/>
      </w:trPr>
      <w:tc>
        <w:tcPr>
          <w:cnfStyle w:val="001000000000" w:firstRow="0" w:lastRow="0" w:firstColumn="1" w:lastColumn="0" w:oddVBand="0" w:evenVBand="0" w:oddHBand="0" w:evenHBand="0" w:firstRowFirstColumn="0" w:firstRowLastColumn="0" w:lastRowFirstColumn="0" w:lastRowLastColumn="0"/>
          <w:tcW w:w="856" w:type="dxa"/>
        </w:tcPr>
        <w:p w:rsidR="00022BFA" w:rsidRPr="00384E72" w:rsidRDefault="00022BFA" w:rsidP="00B526EB">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sidR="003D35CD">
            <w:rPr>
              <w:noProof/>
              <w:color w:val="262626" w:themeColor="text1" w:themeTint="D9"/>
            </w:rPr>
            <w:t>4</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sidR="003D35CD">
            <w:rPr>
              <w:noProof/>
              <w:color w:val="262626" w:themeColor="text1" w:themeTint="D9"/>
            </w:rPr>
            <w:t>4</w:t>
          </w:r>
          <w:r w:rsidRPr="00384E72">
            <w:rPr>
              <w:noProof/>
              <w:color w:val="262626" w:themeColor="text1" w:themeTint="D9"/>
            </w:rPr>
            <w:fldChar w:fldCharType="end"/>
          </w:r>
        </w:p>
      </w:tc>
      <w:tc>
        <w:tcPr>
          <w:tcW w:w="142" w:type="dxa"/>
        </w:tcPr>
        <w:p w:rsidR="00022BFA" w:rsidRPr="00384E72" w:rsidRDefault="00022BFA" w:rsidP="00B526E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708" w:type="dxa"/>
        </w:tcPr>
        <w:p w:rsidR="00022BFA" w:rsidRPr="00384E72" w:rsidRDefault="00022BFA" w:rsidP="00B526EB">
          <w:pPr>
            <w:pStyle w:val="CCYPTableTextInfo"/>
            <w:rPr>
              <w:color w:val="262626" w:themeColor="text1" w:themeTint="D9"/>
            </w:rPr>
          </w:pPr>
          <w:r w:rsidRPr="00384E72">
            <w:rPr>
              <w:color w:val="262626" w:themeColor="text1" w:themeTint="D9"/>
            </w:rPr>
            <w:t>8601 5281</w:t>
          </w:r>
        </w:p>
      </w:tc>
      <w:tc>
        <w:tcPr>
          <w:tcW w:w="172" w:type="dxa"/>
        </w:tcPr>
        <w:p w:rsidR="00022BFA" w:rsidRPr="00384E72" w:rsidRDefault="00022BFA" w:rsidP="00B526E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22" w:type="dxa"/>
        </w:tcPr>
        <w:p w:rsidR="00022BFA" w:rsidRPr="00384E72" w:rsidRDefault="00022BFA" w:rsidP="00B526EB">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1" w:type="dxa"/>
        </w:tcPr>
        <w:p w:rsidR="00022BFA" w:rsidRPr="00384E72" w:rsidRDefault="00022BFA" w:rsidP="00B526E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6" w:type="dxa"/>
        </w:tcPr>
        <w:p w:rsidR="00022BFA" w:rsidRPr="00384E72" w:rsidRDefault="00022BFA" w:rsidP="00B526EB">
          <w:pPr>
            <w:pStyle w:val="CCYPTableTextInfo"/>
            <w:rPr>
              <w:color w:val="262626" w:themeColor="text1" w:themeTint="D9"/>
            </w:rPr>
          </w:pPr>
          <w:r w:rsidRPr="00384E72">
            <w:rPr>
              <w:color w:val="262626" w:themeColor="text1" w:themeTint="D9"/>
            </w:rPr>
            <w:t>ccyp.vic.gov.au</w:t>
          </w:r>
        </w:p>
      </w:tc>
      <w:tc>
        <w:tcPr>
          <w:tcW w:w="142" w:type="dxa"/>
        </w:tcPr>
        <w:p w:rsidR="00022BFA" w:rsidRPr="00384E72" w:rsidRDefault="00022BFA" w:rsidP="00B526E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278" w:type="dxa"/>
        </w:tcPr>
        <w:p w:rsidR="00022BFA" w:rsidRPr="00384E72" w:rsidRDefault="00022BFA" w:rsidP="00B526EB">
          <w:pPr>
            <w:pStyle w:val="CCYPTableTextInfo"/>
            <w:rPr>
              <w:color w:val="262626" w:themeColor="text1" w:themeTint="D9"/>
            </w:rPr>
          </w:pPr>
          <w:r w:rsidRPr="00384E72">
            <w:rPr>
              <w:color w:val="262626" w:themeColor="text1" w:themeTint="D9"/>
            </w:rPr>
            <w:t xml:space="preserve">Last updated: </w:t>
          </w:r>
          <w:r>
            <w:rPr>
              <w:color w:val="262626" w:themeColor="text1" w:themeTint="D9"/>
            </w:rPr>
            <w:t>19 June 2018</w:t>
          </w:r>
        </w:p>
      </w:tc>
    </w:tr>
  </w:tbl>
  <w:p w:rsidR="00022BFA" w:rsidRDefault="00022BFA">
    <w:pPr>
      <w:pStyle w:val="Footer"/>
    </w:pPr>
    <w:r>
      <w:rPr>
        <w:noProof/>
        <w:lang w:val="en-AU" w:eastAsia="en-AU"/>
      </w:rPr>
      <w:drawing>
        <wp:anchor distT="0" distB="0" distL="114300" distR="114300" simplePos="0" relativeHeight="251674624" behindDoc="1" locked="0" layoutInCell="1" allowOverlap="1" wp14:anchorId="632978DC" wp14:editId="490E7D8B">
          <wp:simplePos x="0" y="0"/>
          <wp:positionH relativeFrom="column">
            <wp:posOffset>4994503</wp:posOffset>
          </wp:positionH>
          <wp:positionV relativeFrom="paragraph">
            <wp:posOffset>-789940</wp:posOffset>
          </wp:positionV>
          <wp:extent cx="1691641" cy="8906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022BFA" w:rsidRPr="00DB4033" w:rsidRDefault="00022BFA" w:rsidP="00DB4033">
    <w:pPr>
      <w:pStyle w:val="Footer"/>
      <w:contextualSpacing/>
      <w:rPr>
        <w:lang w:val="en-A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856"/>
      <w:gridCol w:w="142"/>
      <w:gridCol w:w="708"/>
      <w:gridCol w:w="172"/>
      <w:gridCol w:w="2522"/>
      <w:gridCol w:w="141"/>
      <w:gridCol w:w="1276"/>
      <w:gridCol w:w="142"/>
      <w:gridCol w:w="2278"/>
    </w:tblGrid>
    <w:tr w:rsidR="00022BFA" w:rsidTr="007337E1">
      <w:trPr>
        <w:trHeight w:val="361"/>
      </w:trPr>
      <w:tc>
        <w:tcPr>
          <w:cnfStyle w:val="001000000000" w:firstRow="0" w:lastRow="0" w:firstColumn="1" w:lastColumn="0" w:oddVBand="0" w:evenVBand="0" w:oddHBand="0" w:evenHBand="0" w:firstRowFirstColumn="0" w:firstRowLastColumn="0" w:lastRowFirstColumn="0" w:lastRowLastColumn="0"/>
          <w:tcW w:w="856" w:type="dxa"/>
        </w:tcPr>
        <w:p w:rsidR="00022BFA" w:rsidRPr="00384E72" w:rsidRDefault="00022BFA" w:rsidP="007337E1">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sidR="003D35CD">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sidR="003D35CD">
            <w:rPr>
              <w:noProof/>
              <w:color w:val="262626" w:themeColor="text1" w:themeTint="D9"/>
            </w:rPr>
            <w:t>4</w:t>
          </w:r>
          <w:r w:rsidRPr="00384E72">
            <w:rPr>
              <w:noProof/>
              <w:color w:val="262626" w:themeColor="text1" w:themeTint="D9"/>
            </w:rPr>
            <w:fldChar w:fldCharType="end"/>
          </w:r>
        </w:p>
      </w:tc>
      <w:tc>
        <w:tcPr>
          <w:tcW w:w="142" w:type="dxa"/>
        </w:tcPr>
        <w:p w:rsidR="00022BFA" w:rsidRPr="00384E72" w:rsidRDefault="00022BFA" w:rsidP="007337E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708" w:type="dxa"/>
        </w:tcPr>
        <w:p w:rsidR="00022BFA" w:rsidRPr="00384E72" w:rsidRDefault="00022BFA" w:rsidP="007337E1">
          <w:pPr>
            <w:pStyle w:val="CCYPTableTextInfo"/>
            <w:rPr>
              <w:color w:val="262626" w:themeColor="text1" w:themeTint="D9"/>
            </w:rPr>
          </w:pPr>
          <w:r w:rsidRPr="00384E72">
            <w:rPr>
              <w:color w:val="262626" w:themeColor="text1" w:themeTint="D9"/>
            </w:rPr>
            <w:t>8601 5281</w:t>
          </w:r>
        </w:p>
      </w:tc>
      <w:tc>
        <w:tcPr>
          <w:tcW w:w="172" w:type="dxa"/>
        </w:tcPr>
        <w:p w:rsidR="00022BFA" w:rsidRPr="00384E72" w:rsidRDefault="00022BFA" w:rsidP="007337E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22" w:type="dxa"/>
        </w:tcPr>
        <w:p w:rsidR="00022BFA" w:rsidRPr="00384E72" w:rsidRDefault="00022BFA" w:rsidP="007337E1">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1" w:type="dxa"/>
        </w:tcPr>
        <w:p w:rsidR="00022BFA" w:rsidRPr="00384E72" w:rsidRDefault="00022BFA" w:rsidP="007337E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6" w:type="dxa"/>
        </w:tcPr>
        <w:p w:rsidR="00022BFA" w:rsidRPr="00384E72" w:rsidRDefault="00022BFA" w:rsidP="007337E1">
          <w:pPr>
            <w:pStyle w:val="CCYPTableTextInfo"/>
            <w:rPr>
              <w:color w:val="262626" w:themeColor="text1" w:themeTint="D9"/>
            </w:rPr>
          </w:pPr>
          <w:r w:rsidRPr="00384E72">
            <w:rPr>
              <w:color w:val="262626" w:themeColor="text1" w:themeTint="D9"/>
            </w:rPr>
            <w:t>ccyp.vic.gov.au</w:t>
          </w:r>
        </w:p>
      </w:tc>
      <w:tc>
        <w:tcPr>
          <w:tcW w:w="142" w:type="dxa"/>
        </w:tcPr>
        <w:p w:rsidR="00022BFA" w:rsidRPr="00384E72" w:rsidRDefault="00022BFA" w:rsidP="007337E1">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278" w:type="dxa"/>
        </w:tcPr>
        <w:p w:rsidR="00022BFA" w:rsidRPr="00384E72" w:rsidRDefault="00022BFA" w:rsidP="007337E1">
          <w:pPr>
            <w:pStyle w:val="CCYPTableTextInfo"/>
            <w:rPr>
              <w:color w:val="262626" w:themeColor="text1" w:themeTint="D9"/>
            </w:rPr>
          </w:pPr>
          <w:r w:rsidRPr="00384E72">
            <w:rPr>
              <w:color w:val="262626" w:themeColor="text1" w:themeTint="D9"/>
            </w:rPr>
            <w:t xml:space="preserve">Last updated: </w:t>
          </w:r>
          <w:r>
            <w:rPr>
              <w:color w:val="262626" w:themeColor="text1" w:themeTint="D9"/>
            </w:rPr>
            <w:t>19 June 2018</w:t>
          </w:r>
        </w:p>
      </w:tc>
    </w:tr>
  </w:tbl>
  <w:p w:rsidR="00022BFA" w:rsidRDefault="00022BFA">
    <w:pPr>
      <w:pStyle w:val="Footer"/>
    </w:pPr>
    <w:r>
      <w:rPr>
        <w:noProof/>
        <w:lang w:val="en-AU" w:eastAsia="en-AU"/>
      </w:rPr>
      <w:drawing>
        <wp:anchor distT="0" distB="0" distL="114300" distR="114300" simplePos="0" relativeHeight="251676672" behindDoc="1" locked="0" layoutInCell="1" allowOverlap="1" wp14:anchorId="035E0F82" wp14:editId="4A85987C">
          <wp:simplePos x="0" y="0"/>
          <wp:positionH relativeFrom="column">
            <wp:posOffset>4994503</wp:posOffset>
          </wp:positionH>
          <wp:positionV relativeFrom="paragraph">
            <wp:posOffset>-789940</wp:posOffset>
          </wp:positionV>
          <wp:extent cx="1691641" cy="8906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022BFA" w:rsidRDefault="00022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98" w:rsidRDefault="00E65C98" w:rsidP="00A642F5">
      <w:pPr>
        <w:spacing w:before="0"/>
      </w:pPr>
      <w:r>
        <w:separator/>
      </w:r>
    </w:p>
  </w:footnote>
  <w:footnote w:type="continuationSeparator" w:id="0">
    <w:p w:rsidR="00E65C98" w:rsidRDefault="00E65C98" w:rsidP="00A642F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FA" w:rsidRPr="00CF6CCA" w:rsidRDefault="00022BFA" w:rsidP="00CF6CCA">
    <w:pPr>
      <w:pStyle w:val="CCYPTableHeader"/>
      <w:spacing w:before="240"/>
      <w:ind w:left="-426"/>
      <w:rPr>
        <w:sz w:val="40"/>
        <w:szCs w:val="40"/>
        <w:lang w:val="en-AU"/>
      </w:rPr>
    </w:pPr>
    <w:r w:rsidRPr="00CF6CCA">
      <w:rPr>
        <w:bCs/>
        <w:noProof/>
        <w:sz w:val="44"/>
        <w:szCs w:val="40"/>
        <w:lang w:val="en-AU" w:eastAsia="en-AU"/>
      </w:rPr>
      <mc:AlternateContent>
        <mc:Choice Requires="wps">
          <w:drawing>
            <wp:anchor distT="0" distB="0" distL="114300" distR="114300" simplePos="0" relativeHeight="251670528" behindDoc="1" locked="0" layoutInCell="1" allowOverlap="1" wp14:anchorId="3CBD0B0C" wp14:editId="3B5D9E02">
              <wp:simplePos x="0" y="0"/>
              <wp:positionH relativeFrom="column">
                <wp:posOffset>2772410</wp:posOffset>
              </wp:positionH>
              <wp:positionV relativeFrom="paragraph">
                <wp:posOffset>-488476</wp:posOffset>
              </wp:positionV>
              <wp:extent cx="4403725" cy="1364615"/>
              <wp:effectExtent l="0" t="0" r="0" b="6985"/>
              <wp:wrapNone/>
              <wp:docPr id="1" name="Round Single Corner Rectangle 1"/>
              <wp:cNvGraphicFramePr/>
              <a:graphic xmlns:a="http://schemas.openxmlformats.org/drawingml/2006/main">
                <a:graphicData uri="http://schemas.microsoft.com/office/word/2010/wordprocessingShape">
                  <wps:wsp>
                    <wps:cNvSpPr/>
                    <wps:spPr>
                      <a:xfrm flipH="1">
                        <a:off x="0" y="0"/>
                        <a:ext cx="4403725" cy="13646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rsidR="00022BFA" w:rsidRDefault="00022BFA"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 o:spid="_x0000_s1027" style="position:absolute;left:0;text-align:left;margin-left:218.3pt;margin-top:-38.45pt;width:346.75pt;height:107.4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25,1364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" adj="-11796480,,5400" path="m,l3721418,v376828,,682308,305480,682308,682308c4403726,909744,4403725,1137179,4403725,1364615l,1364615,,xe" fillcolor="#fdb913 [3206]" stroked="f" strokeweight=".5pt">
              <v:stroke joinstyle="miter"/>
              <v:formulas/>
              <v:path arrowok="t" o:connecttype="custom" o:connectlocs="0,0;3721418,0;4403726,682308;4403725,1364615;0,1364615;0,0" o:connectangles="0,0,0,0,0,0" textboxrect="0,0,4403725,1364615"/>
              <v:textbox>
                <w:txbxContent>
                  <w:p w:rsidR="00022BFA" w:rsidRDefault="00022BFA" w:rsidP="007F4BE3">
                    <w:pPr>
                      <w:jc w:val="center"/>
                    </w:pPr>
                  </w:p>
                </w:txbxContent>
              </v:textbox>
            </v:shape>
          </w:pict>
        </mc:Fallback>
      </mc:AlternateContent>
    </w:r>
    <w:r w:rsidRPr="00CF6CCA">
      <w:rPr>
        <w:noProof/>
        <w:sz w:val="44"/>
        <w:szCs w:val="40"/>
        <w:lang w:val="en-AU" w:eastAsia="en-AU"/>
      </w:rPr>
      <w:drawing>
        <wp:anchor distT="0" distB="0" distL="114300" distR="114300" simplePos="0" relativeHeight="251662335" behindDoc="1" locked="0" layoutInCell="1" allowOverlap="1" wp14:anchorId="1183739E" wp14:editId="7AF73369">
          <wp:simplePos x="0" y="0"/>
          <wp:positionH relativeFrom="column">
            <wp:posOffset>-549438</wp:posOffset>
          </wp:positionH>
          <wp:positionV relativeFrom="paragraph">
            <wp:posOffset>-539750</wp:posOffset>
          </wp:positionV>
          <wp:extent cx="3655846" cy="5694314"/>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846" cy="5694314"/>
                  </a:xfrm>
                  <a:prstGeom prst="rect">
                    <a:avLst/>
                  </a:prstGeom>
                </pic:spPr>
              </pic:pic>
            </a:graphicData>
          </a:graphic>
          <wp14:sizeRelH relativeFrom="page">
            <wp14:pctWidth>0</wp14:pctWidth>
          </wp14:sizeRelH>
          <wp14:sizeRelV relativeFrom="page">
            <wp14:pctHeight>0</wp14:pctHeight>
          </wp14:sizeRelV>
        </wp:anchor>
      </w:drawing>
    </w:r>
    <w:r w:rsidRPr="00CF6CCA">
      <w:rPr>
        <w:bCs/>
        <w:noProof/>
        <w:sz w:val="44"/>
        <w:szCs w:val="40"/>
        <w:lang w:val="en-AU" w:eastAsia="en-AU"/>
      </w:rPr>
      <mc:AlternateContent>
        <mc:Choice Requires="wps">
          <w:drawing>
            <wp:anchor distT="0" distB="0" distL="114300" distR="114300" simplePos="0" relativeHeight="251671552" behindDoc="1" locked="0" layoutInCell="1" allowOverlap="1" wp14:anchorId="787C3A21" wp14:editId="50CEEEE9">
              <wp:simplePos x="0" y="0"/>
              <wp:positionH relativeFrom="column">
                <wp:posOffset>-602904</wp:posOffset>
              </wp:positionH>
              <wp:positionV relativeFrom="paragraph">
                <wp:posOffset>-304391</wp:posOffset>
              </wp:positionV>
              <wp:extent cx="4117975" cy="1485347"/>
              <wp:effectExtent l="0" t="0" r="0" b="0"/>
              <wp:wrapNone/>
              <wp:docPr id="3" name="Round Single Corner Rectangle 3"/>
              <wp:cNvGraphicFramePr/>
              <a:graphic xmlns:a="http://schemas.openxmlformats.org/drawingml/2006/main">
                <a:graphicData uri="http://schemas.microsoft.com/office/word/2010/wordprocessingShape">
                  <wps:wsp>
                    <wps:cNvSpPr/>
                    <wps:spPr>
                      <a:xfrm>
                        <a:off x="0" y="0"/>
                        <a:ext cx="4117975" cy="1485347"/>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3" o:spid="_x0000_s1026" style="position:absolute;margin-left:-47.45pt;margin-top:-23.95pt;width:324.25pt;height:11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17975,148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" path="m,l3375302,v410168,,742674,332506,742674,742674c4117976,990232,4117975,1237789,4117975,1485347l,1485347,,xe" fillcolor="#0081c6" stroked="f" strokeweight=".5pt">
              <v:stroke joinstyle="miter"/>
              <v:path arrowok="t" o:connecttype="custom" o:connectlocs="0,0;3375302,0;4117976,742674;4117975,1485347;0,1485347;0,0" o:connectangles="0,0,0,0,0,0"/>
            </v:shape>
          </w:pict>
        </mc:Fallback>
      </mc:AlternateContent>
    </w:r>
    <w:r>
      <w:rPr>
        <w:sz w:val="44"/>
        <w:szCs w:val="40"/>
        <w:lang w:val="en-AU"/>
      </w:rPr>
      <w:t>Information Sheet 2</w:t>
    </w:r>
    <w:r w:rsidRPr="00CF6CCA">
      <w:rPr>
        <w:sz w:val="44"/>
        <w:szCs w:val="40"/>
        <w:lang w:val="en-AU"/>
      </w:rPr>
      <w:t xml:space="preserve"> </w:t>
    </w:r>
    <w:r>
      <w:rPr>
        <w:sz w:val="44"/>
        <w:szCs w:val="40"/>
        <w:lang w:val="en-AU"/>
      </w:rPr>
      <w:br/>
    </w:r>
    <w:r>
      <w:rPr>
        <w:sz w:val="36"/>
        <w:szCs w:val="36"/>
        <w:lang w:val="en-AU"/>
      </w:rPr>
      <w:t>What is r</w:t>
    </w:r>
    <w:r w:rsidRPr="00504ABD">
      <w:rPr>
        <w:sz w:val="36"/>
        <w:szCs w:val="36"/>
        <w:lang w:val="en-AU"/>
      </w:rPr>
      <w:t xml:space="preserve">eportable </w:t>
    </w:r>
    <w:r>
      <w:rPr>
        <w:sz w:val="36"/>
        <w:szCs w:val="36"/>
        <w:lang w:val="en-AU"/>
      </w:rPr>
      <w:t>c</w:t>
    </w:r>
    <w:r w:rsidRPr="00504ABD">
      <w:rPr>
        <w:sz w:val="36"/>
        <w:szCs w:val="36"/>
        <w:lang w:val="en-AU"/>
      </w:rPr>
      <w:t>onduct</w:t>
    </w:r>
    <w:r>
      <w:rPr>
        <w:sz w:val="36"/>
        <w:szCs w:val="36"/>
        <w:lang w:val="en-AU"/>
      </w:rPr>
      <w:t xml:space="preserve"> under</w:t>
    </w:r>
    <w:r>
      <w:rPr>
        <w:sz w:val="36"/>
        <w:szCs w:val="36"/>
        <w:lang w:val="en-AU"/>
      </w:rPr>
      <w:br/>
      <w:t xml:space="preserve"> the Reportable Conduct Scheme?</w:t>
    </w:r>
  </w:p>
  <w:p w:rsidR="00022BFA" w:rsidRDefault="00022BFA" w:rsidP="007F4BE3">
    <w:pPr>
      <w:pStyle w:val="Header"/>
      <w:tabs>
        <w:tab w:val="clear" w:pos="4513"/>
        <w:tab w:val="clear" w:pos="9026"/>
        <w:tab w:val="left" w:pos="1540"/>
      </w:tabs>
      <w:rPr>
        <w:noProof/>
        <w:lang w:eastAsia="en-GB"/>
      </w:rPr>
    </w:pPr>
    <w:r>
      <w:rPr>
        <w:noProof/>
        <w:lang w:eastAsia="en-GB"/>
      </w:rPr>
      <w:tab/>
    </w:r>
    <w:r>
      <w:rPr>
        <w:noProof/>
        <w:lang w:eastAsia="en-GB"/>
      </w:rPr>
      <w:br/>
    </w:r>
  </w:p>
  <w:p w:rsidR="00022BFA" w:rsidRDefault="00022BFA" w:rsidP="00F6222C">
    <w:pPr>
      <w:pStyle w:val="Header"/>
      <w:rPr>
        <w:noProof/>
        <w:lang w:eastAsia="en-GB"/>
      </w:rPr>
    </w:pPr>
  </w:p>
  <w:p w:rsidR="00022BFA" w:rsidRPr="00F6222C" w:rsidRDefault="00022BFA"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52E2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26EE5B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4430434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57444C9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7FBCE4D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72A0034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418C19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40C29B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98406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9C4A4E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45A821E"/>
    <w:lvl w:ilvl="0">
      <w:start w:val="1"/>
      <w:numFmt w:val="bullet"/>
      <w:lvlText w:val=""/>
      <w:lvlJc w:val="left"/>
      <w:pPr>
        <w:tabs>
          <w:tab w:val="num" w:pos="360"/>
        </w:tabs>
        <w:ind w:left="360" w:hanging="360"/>
      </w:pPr>
      <w:rPr>
        <w:rFonts w:ascii="Symbol" w:hAnsi="Symbol" w:hint="default"/>
      </w:rPr>
    </w:lvl>
  </w:abstractNum>
  <w:abstractNum w:abstractNumId="11">
    <w:nsid w:val="064F37B0"/>
    <w:multiLevelType w:val="multilevel"/>
    <w:tmpl w:val="66E016B2"/>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6C85481"/>
    <w:multiLevelType w:val="multilevel"/>
    <w:tmpl w:val="892A7738"/>
    <w:lvl w:ilvl="0">
      <w:start w:val="1"/>
      <w:numFmt w:val="bullet"/>
      <w:lvlText w:val=""/>
      <w:lvlJc w:val="left"/>
      <w:pPr>
        <w:ind w:left="567" w:hanging="227"/>
      </w:pPr>
      <w:rPr>
        <w:rFonts w:ascii="Symbol" w:hAnsi="Symbol"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A2F53FE"/>
    <w:multiLevelType w:val="multilevel"/>
    <w:tmpl w:val="92F41E82"/>
    <w:lvl w:ilvl="0">
      <w:start w:val="1"/>
      <w:numFmt w:val="bullet"/>
      <w:lvlText w:val=""/>
      <w:lvlJc w:val="left"/>
      <w:pPr>
        <w:ind w:left="340" w:hanging="340"/>
      </w:pPr>
      <w:rPr>
        <w:rFonts w:ascii="Symbol" w:hAnsi="Symbol"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0D5C400B"/>
    <w:multiLevelType w:val="multilevel"/>
    <w:tmpl w:val="7310AAF2"/>
    <w:lvl w:ilvl="0">
      <w:start w:val="1"/>
      <w:numFmt w:val="decimal"/>
      <w:lvlText w:val="%1."/>
      <w:lvlJc w:val="right"/>
      <w:pPr>
        <w:ind w:left="700" w:hanging="360"/>
      </w:pPr>
      <w:rPr>
        <w:rFonts w:cs="Times New Roman"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03E48D5"/>
    <w:multiLevelType w:val="hybridMultilevel"/>
    <w:tmpl w:val="4296CC4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nsid w:val="10930CAA"/>
    <w:multiLevelType w:val="multilevel"/>
    <w:tmpl w:val="EE585FD4"/>
    <w:lvl w:ilvl="0">
      <w:start w:val="1"/>
      <w:numFmt w:val="decimal"/>
      <w:lvlText w:val="%1."/>
      <w:lvlJc w:val="right"/>
      <w:pPr>
        <w:ind w:left="700" w:hanging="360"/>
      </w:pPr>
      <w:rPr>
        <w:rFonts w:ascii="Arial" w:hAnsi="Arial" w:cs="Times New Roman" w:hint="default"/>
        <w:b/>
        <w:i w:val="0"/>
        <w:color w:val="0081C6" w:themeColor="accent1"/>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700070D"/>
    <w:multiLevelType w:val="hybridMultilevel"/>
    <w:tmpl w:val="5F20D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88266D9"/>
    <w:multiLevelType w:val="multilevel"/>
    <w:tmpl w:val="8DCE7966"/>
    <w:lvl w:ilvl="0">
      <w:start w:val="1"/>
      <w:numFmt w:val="bullet"/>
      <w:lvlText w:val=""/>
      <w:lvlJc w:val="left"/>
      <w:pPr>
        <w:ind w:left="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1BCD4D2A"/>
    <w:multiLevelType w:val="hybridMultilevel"/>
    <w:tmpl w:val="9378FF04"/>
    <w:lvl w:ilvl="0" w:tplc="0074C776">
      <w:start w:val="1"/>
      <w:numFmt w:val="decimal"/>
      <w:pStyle w:val="CCYPNumberedListIndent"/>
      <w:lvlText w:val="%1."/>
      <w:lvlJc w:val="right"/>
      <w:pPr>
        <w:ind w:left="680" w:hanging="170"/>
      </w:pPr>
      <w:rPr>
        <w:rFonts w:ascii="Arial" w:hAnsi="Arial" w:cs="Times New Roman" w:hint="default"/>
        <w:b/>
        <w:i w:val="0"/>
        <w:color w:val="0081C6" w:themeColor="accent1"/>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81C6"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C814519"/>
    <w:multiLevelType w:val="hybridMultilevel"/>
    <w:tmpl w:val="2E8041F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2">
    <w:nsid w:val="245B6621"/>
    <w:multiLevelType w:val="multilevel"/>
    <w:tmpl w:val="147AC8D6"/>
    <w:lvl w:ilvl="0">
      <w:start w:val="1"/>
      <w:numFmt w:val="bullet"/>
      <w:lvlText w:val=""/>
      <w:lvlJc w:val="left"/>
      <w:pPr>
        <w:ind w:left="-340" w:firstLine="6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26815D47"/>
    <w:multiLevelType w:val="hybridMultilevel"/>
    <w:tmpl w:val="486CA5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nsid w:val="26AE108C"/>
    <w:multiLevelType w:val="hybridMultilevel"/>
    <w:tmpl w:val="E872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4A2193"/>
    <w:multiLevelType w:val="hybridMultilevel"/>
    <w:tmpl w:val="8732E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AEB2E92"/>
    <w:multiLevelType w:val="multilevel"/>
    <w:tmpl w:val="726CF920"/>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2D39305F"/>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2EC91AE5"/>
    <w:multiLevelType w:val="hybridMultilevel"/>
    <w:tmpl w:val="D0EEFBE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9">
    <w:nsid w:val="342D5931"/>
    <w:multiLevelType w:val="hybridMultilevel"/>
    <w:tmpl w:val="D032972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0">
    <w:nsid w:val="381710D6"/>
    <w:multiLevelType w:val="multilevel"/>
    <w:tmpl w:val="CB5C1F86"/>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39A52A82"/>
    <w:multiLevelType w:val="hybridMultilevel"/>
    <w:tmpl w:val="ACB658D8"/>
    <w:lvl w:ilvl="0" w:tplc="E502FBE2">
      <w:start w:val="1"/>
      <w:numFmt w:val="decimal"/>
      <w:pStyle w:val="CCYP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4F32EE"/>
    <w:multiLevelType w:val="multilevel"/>
    <w:tmpl w:val="A02C5F9C"/>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3B63086E"/>
    <w:multiLevelType w:val="hybridMultilevel"/>
    <w:tmpl w:val="22241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EEA4686"/>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43391949"/>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44F077E2"/>
    <w:multiLevelType w:val="multilevel"/>
    <w:tmpl w:val="5910559A"/>
    <w:lvl w:ilvl="0">
      <w:start w:val="1"/>
      <w:numFmt w:val="bullet"/>
      <w:lvlText w:val=""/>
      <w:lvlJc w:val="left"/>
      <w:pPr>
        <w:ind w:left="680" w:hanging="340"/>
      </w:pPr>
      <w:rPr>
        <w:rFonts w:ascii="Symbol" w:hAnsi="Symbol"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48A930A9"/>
    <w:multiLevelType w:val="multilevel"/>
    <w:tmpl w:val="6CDE17FE"/>
    <w:lvl w:ilvl="0">
      <w:start w:val="1"/>
      <w:numFmt w:val="decimal"/>
      <w:lvlText w:val="%1."/>
      <w:lvlJc w:val="right"/>
      <w:pPr>
        <w:ind w:left="700" w:hanging="360"/>
      </w:pPr>
      <w:rPr>
        <w:rFonts w:cs="Times New Roman"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4FF95416"/>
    <w:multiLevelType w:val="multilevel"/>
    <w:tmpl w:val="53EE56BA"/>
    <w:lvl w:ilvl="0">
      <w:start w:val="1"/>
      <w:numFmt w:val="bullet"/>
      <w:lvlText w:val=""/>
      <w:lvlJc w:val="left"/>
      <w:pPr>
        <w:ind w:left="170" w:firstLine="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52D31E70"/>
    <w:multiLevelType w:val="hybridMultilevel"/>
    <w:tmpl w:val="B868FF9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1">
    <w:nsid w:val="56DC0EC2"/>
    <w:multiLevelType w:val="hybridMultilevel"/>
    <w:tmpl w:val="CB4826FC"/>
    <w:lvl w:ilvl="0" w:tplc="44A83AF2">
      <w:start w:val="1"/>
      <w:numFmt w:val="bullet"/>
      <w:lvlText w:val=""/>
      <w:lvlJc w:val="left"/>
      <w:pPr>
        <w:ind w:left="340"/>
      </w:pPr>
      <w:rPr>
        <w:rFonts w:ascii="Symbol" w:hAnsi="Symbol" w:hint="default"/>
      </w:rPr>
    </w:lvl>
    <w:lvl w:ilvl="1" w:tplc="08090003" w:tentative="1">
      <w:start w:val="1"/>
      <w:numFmt w:val="bullet"/>
      <w:lvlText w:val="o"/>
      <w:lvlJc w:val="left"/>
      <w:pPr>
        <w:ind w:left="1100" w:hanging="360"/>
      </w:pPr>
      <w:rPr>
        <w:rFonts w:ascii="Courier New" w:hAnsi="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2">
    <w:nsid w:val="571B008A"/>
    <w:multiLevelType w:val="hybridMultilevel"/>
    <w:tmpl w:val="99BC5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8BC5FBF"/>
    <w:multiLevelType w:val="hybridMultilevel"/>
    <w:tmpl w:val="06648BEA"/>
    <w:lvl w:ilvl="0" w:tplc="55B2F75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8FA2D02"/>
    <w:multiLevelType w:val="multilevel"/>
    <w:tmpl w:val="6A0CD21C"/>
    <w:lvl w:ilvl="0">
      <w:start w:val="1"/>
      <w:numFmt w:val="bullet"/>
      <w:lvlText w:val=""/>
      <w:lvlJc w:val="left"/>
      <w:pPr>
        <w:ind w:left="340" w:firstLine="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5B523454"/>
    <w:multiLevelType w:val="hybridMultilevel"/>
    <w:tmpl w:val="82626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BDA7EE0"/>
    <w:multiLevelType w:val="hybridMultilevel"/>
    <w:tmpl w:val="FF70F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F88376D"/>
    <w:multiLevelType w:val="multilevel"/>
    <w:tmpl w:val="99E091AC"/>
    <w:lvl w:ilvl="0">
      <w:start w:val="1"/>
      <w:numFmt w:val="bullet"/>
      <w:lvlText w:val=""/>
      <w:lvlJc w:val="left"/>
      <w:rPr>
        <w:rFonts w:ascii="Symbol" w:hAnsi="Symbol" w:hint="default"/>
      </w:rPr>
    </w:lvl>
    <w:lvl w:ilvl="1">
      <w:start w:val="1"/>
      <w:numFmt w:val="bullet"/>
      <w:lvlText w:val="o"/>
      <w:lvlJc w:val="left"/>
      <w:pPr>
        <w:ind w:left="1100" w:hanging="360"/>
      </w:pPr>
      <w:rPr>
        <w:rFonts w:ascii="Courier New" w:hAnsi="Courier New" w:hint="default"/>
      </w:rPr>
    </w:lvl>
    <w:lvl w:ilvl="2">
      <w:start w:val="1"/>
      <w:numFmt w:val="bullet"/>
      <w:lvlText w:val=""/>
      <w:lvlJc w:val="left"/>
      <w:pPr>
        <w:ind w:left="1820" w:hanging="360"/>
      </w:pPr>
      <w:rPr>
        <w:rFonts w:ascii="Wingdings" w:hAnsi="Wingdings" w:hint="default"/>
      </w:rPr>
    </w:lvl>
    <w:lvl w:ilvl="3">
      <w:start w:val="1"/>
      <w:numFmt w:val="bullet"/>
      <w:lvlText w:val=""/>
      <w:lvlJc w:val="left"/>
      <w:pPr>
        <w:ind w:left="2540" w:hanging="360"/>
      </w:pPr>
      <w:rPr>
        <w:rFonts w:ascii="Symbol" w:hAnsi="Symbol" w:hint="default"/>
      </w:rPr>
    </w:lvl>
    <w:lvl w:ilvl="4">
      <w:start w:val="1"/>
      <w:numFmt w:val="bullet"/>
      <w:lvlText w:val="o"/>
      <w:lvlJc w:val="left"/>
      <w:pPr>
        <w:ind w:left="3260" w:hanging="360"/>
      </w:pPr>
      <w:rPr>
        <w:rFonts w:ascii="Courier New" w:hAnsi="Courier New" w:hint="default"/>
      </w:rPr>
    </w:lvl>
    <w:lvl w:ilvl="5">
      <w:start w:val="1"/>
      <w:numFmt w:val="bullet"/>
      <w:lvlText w:val=""/>
      <w:lvlJc w:val="left"/>
      <w:pPr>
        <w:ind w:left="3980" w:hanging="360"/>
      </w:pPr>
      <w:rPr>
        <w:rFonts w:ascii="Wingdings" w:hAnsi="Wingdings" w:hint="default"/>
      </w:rPr>
    </w:lvl>
    <w:lvl w:ilvl="6">
      <w:start w:val="1"/>
      <w:numFmt w:val="bullet"/>
      <w:lvlText w:val=""/>
      <w:lvlJc w:val="left"/>
      <w:pPr>
        <w:ind w:left="4700" w:hanging="360"/>
      </w:pPr>
      <w:rPr>
        <w:rFonts w:ascii="Symbol" w:hAnsi="Symbol" w:hint="default"/>
      </w:rPr>
    </w:lvl>
    <w:lvl w:ilvl="7">
      <w:start w:val="1"/>
      <w:numFmt w:val="bullet"/>
      <w:lvlText w:val="o"/>
      <w:lvlJc w:val="left"/>
      <w:pPr>
        <w:ind w:left="5420" w:hanging="360"/>
      </w:pPr>
      <w:rPr>
        <w:rFonts w:ascii="Courier New" w:hAnsi="Courier New" w:hint="default"/>
      </w:rPr>
    </w:lvl>
    <w:lvl w:ilvl="8">
      <w:start w:val="1"/>
      <w:numFmt w:val="bullet"/>
      <w:lvlText w:val=""/>
      <w:lvlJc w:val="left"/>
      <w:pPr>
        <w:ind w:left="6140" w:hanging="360"/>
      </w:pPr>
      <w:rPr>
        <w:rFonts w:ascii="Wingdings" w:hAnsi="Wingdings" w:hint="default"/>
      </w:rPr>
    </w:lvl>
  </w:abstractNum>
  <w:abstractNum w:abstractNumId="48">
    <w:nsid w:val="603938BC"/>
    <w:multiLevelType w:val="multilevel"/>
    <w:tmpl w:val="E6029784"/>
    <w:lvl w:ilvl="0">
      <w:start w:val="1"/>
      <w:numFmt w:val="bullet"/>
      <w:lvlText w:val=""/>
      <w:lvlJc w:val="left"/>
      <w:pPr>
        <w:ind w:left="34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nsid w:val="64B54E48"/>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6CE26FAA"/>
    <w:multiLevelType w:val="multilevel"/>
    <w:tmpl w:val="C0A4D58E"/>
    <w:lvl w:ilvl="0">
      <w:start w:val="1"/>
      <w:numFmt w:val="bullet"/>
      <w:lvlText w:val=""/>
      <w:lvlJc w:val="left"/>
      <w:pPr>
        <w:ind w:left="51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73374D48"/>
    <w:multiLevelType w:val="hybridMultilevel"/>
    <w:tmpl w:val="07C8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4F534F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nsid w:val="78B2209E"/>
    <w:multiLevelType w:val="multilevel"/>
    <w:tmpl w:val="C0B468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nsid w:val="792E34F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nsid w:val="796E38B6"/>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nsid w:val="7E031EC4"/>
    <w:multiLevelType w:val="hybridMultilevel"/>
    <w:tmpl w:val="56E2A66A"/>
    <w:lvl w:ilvl="0" w:tplc="C9846CA4">
      <w:numFmt w:val="bullet"/>
      <w:lvlText w:val="-"/>
      <w:lvlJc w:val="left"/>
      <w:pPr>
        <w:ind w:left="720" w:hanging="360"/>
      </w:pPr>
      <w:rPr>
        <w:rFonts w:ascii="Calibri" w:eastAsiaTheme="minorHAnsi" w:hAnsi="Calibri" w:cstheme="minorBidi" w:hint="default"/>
        <w:b/>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49"/>
  </w:num>
  <w:num w:numId="3">
    <w:abstractNumId w:val="33"/>
  </w:num>
  <w:num w:numId="4">
    <w:abstractNumId w:val="30"/>
  </w:num>
  <w:num w:numId="5">
    <w:abstractNumId w:val="19"/>
  </w:num>
  <w:num w:numId="6">
    <w:abstractNumId w:val="48"/>
  </w:num>
  <w:num w:numId="7">
    <w:abstractNumId w:val="18"/>
  </w:num>
  <w:num w:numId="8">
    <w:abstractNumId w:val="39"/>
  </w:num>
  <w:num w:numId="9">
    <w:abstractNumId w:val="47"/>
  </w:num>
  <w:num w:numId="10">
    <w:abstractNumId w:val="11"/>
  </w:num>
  <w:num w:numId="11">
    <w:abstractNumId w:val="44"/>
  </w:num>
  <w:num w:numId="12">
    <w:abstractNumId w:val="22"/>
  </w:num>
  <w:num w:numId="13">
    <w:abstractNumId w:val="26"/>
  </w:num>
  <w:num w:numId="14">
    <w:abstractNumId w:val="50"/>
  </w:num>
  <w:num w:numId="15">
    <w:abstractNumId w:val="31"/>
  </w:num>
  <w:num w:numId="16">
    <w:abstractNumId w:val="54"/>
  </w:num>
  <w:num w:numId="17">
    <w:abstractNumId w:val="52"/>
  </w:num>
  <w:num w:numId="18">
    <w:abstractNumId w:val="36"/>
  </w:num>
  <w:num w:numId="19">
    <w:abstractNumId w:val="35"/>
  </w:num>
  <w:num w:numId="20">
    <w:abstractNumId w:val="0"/>
  </w:num>
  <w:num w:numId="21">
    <w:abstractNumId w:val="1"/>
  </w:num>
  <w:num w:numId="22">
    <w:abstractNumId w:val="2"/>
  </w:num>
  <w:num w:numId="23">
    <w:abstractNumId w:val="3"/>
  </w:num>
  <w:num w:numId="24">
    <w:abstractNumId w:val="4"/>
  </w:num>
  <w:num w:numId="25">
    <w:abstractNumId w:val="9"/>
  </w:num>
  <w:num w:numId="26">
    <w:abstractNumId w:val="5"/>
  </w:num>
  <w:num w:numId="27">
    <w:abstractNumId w:val="6"/>
  </w:num>
  <w:num w:numId="28">
    <w:abstractNumId w:val="7"/>
  </w:num>
  <w:num w:numId="29">
    <w:abstractNumId w:val="8"/>
  </w:num>
  <w:num w:numId="30">
    <w:abstractNumId w:val="10"/>
  </w:num>
  <w:num w:numId="31">
    <w:abstractNumId w:val="55"/>
  </w:num>
  <w:num w:numId="32">
    <w:abstractNumId w:val="12"/>
  </w:num>
  <w:num w:numId="33">
    <w:abstractNumId w:val="13"/>
  </w:num>
  <w:num w:numId="34">
    <w:abstractNumId w:val="27"/>
  </w:num>
  <w:num w:numId="35">
    <w:abstractNumId w:val="32"/>
  </w:num>
  <w:num w:numId="36">
    <w:abstractNumId w:val="37"/>
  </w:num>
  <w:num w:numId="37">
    <w:abstractNumId w:val="20"/>
  </w:num>
  <w:num w:numId="38">
    <w:abstractNumId w:val="53"/>
  </w:num>
  <w:num w:numId="39">
    <w:abstractNumId w:val="14"/>
  </w:num>
  <w:num w:numId="40">
    <w:abstractNumId w:val="38"/>
  </w:num>
  <w:num w:numId="41">
    <w:abstractNumId w:val="16"/>
  </w:num>
  <w:num w:numId="42">
    <w:abstractNumId w:val="56"/>
  </w:num>
  <w:num w:numId="43">
    <w:abstractNumId w:val="15"/>
  </w:num>
  <w:num w:numId="44">
    <w:abstractNumId w:val="25"/>
  </w:num>
  <w:num w:numId="45">
    <w:abstractNumId w:val="17"/>
  </w:num>
  <w:num w:numId="46">
    <w:abstractNumId w:val="20"/>
  </w:num>
  <w:num w:numId="47">
    <w:abstractNumId w:val="20"/>
  </w:num>
  <w:num w:numId="48">
    <w:abstractNumId w:val="46"/>
  </w:num>
  <w:num w:numId="49">
    <w:abstractNumId w:val="43"/>
  </w:num>
  <w:num w:numId="50">
    <w:abstractNumId w:val="45"/>
  </w:num>
  <w:num w:numId="51">
    <w:abstractNumId w:val="20"/>
  </w:num>
  <w:num w:numId="52">
    <w:abstractNumId w:val="40"/>
  </w:num>
  <w:num w:numId="53">
    <w:abstractNumId w:val="20"/>
  </w:num>
  <w:num w:numId="54">
    <w:abstractNumId w:val="20"/>
  </w:num>
  <w:num w:numId="55">
    <w:abstractNumId w:val="28"/>
  </w:num>
  <w:num w:numId="56">
    <w:abstractNumId w:val="51"/>
  </w:num>
  <w:num w:numId="57">
    <w:abstractNumId w:val="20"/>
  </w:num>
  <w:num w:numId="58">
    <w:abstractNumId w:val="20"/>
  </w:num>
  <w:num w:numId="59">
    <w:abstractNumId w:val="42"/>
  </w:num>
  <w:num w:numId="60">
    <w:abstractNumId w:val="20"/>
  </w:num>
  <w:num w:numId="61">
    <w:abstractNumId w:val="34"/>
  </w:num>
  <w:num w:numId="62">
    <w:abstractNumId w:val="20"/>
  </w:num>
  <w:num w:numId="63">
    <w:abstractNumId w:val="20"/>
  </w:num>
  <w:num w:numId="64">
    <w:abstractNumId w:val="24"/>
  </w:num>
  <w:num w:numId="65">
    <w:abstractNumId w:val="21"/>
  </w:num>
  <w:num w:numId="66">
    <w:abstractNumId w:val="20"/>
  </w:num>
  <w:num w:numId="67">
    <w:abstractNumId w:val="29"/>
  </w:num>
  <w:num w:numId="68">
    <w:abstractNumId w:val="20"/>
  </w:num>
  <w:num w:numId="69">
    <w:abstractNumId w:val="23"/>
  </w:num>
  <w:num w:numId="70">
    <w:abstractNumId w:val="20"/>
  </w:num>
  <w:num w:numId="71">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CA"/>
    <w:rsid w:val="00022BFA"/>
    <w:rsid w:val="00023D07"/>
    <w:rsid w:val="0003039E"/>
    <w:rsid w:val="0003097E"/>
    <w:rsid w:val="000404A0"/>
    <w:rsid w:val="0005323D"/>
    <w:rsid w:val="0006065C"/>
    <w:rsid w:val="00070DDC"/>
    <w:rsid w:val="00087D66"/>
    <w:rsid w:val="0009143D"/>
    <w:rsid w:val="00093D0D"/>
    <w:rsid w:val="00095C7A"/>
    <w:rsid w:val="000B02F4"/>
    <w:rsid w:val="000C0969"/>
    <w:rsid w:val="000E045D"/>
    <w:rsid w:val="000E1DEC"/>
    <w:rsid w:val="000E493C"/>
    <w:rsid w:val="000E4EF9"/>
    <w:rsid w:val="000F454A"/>
    <w:rsid w:val="000F45C4"/>
    <w:rsid w:val="00102E04"/>
    <w:rsid w:val="00120DBE"/>
    <w:rsid w:val="00122EDC"/>
    <w:rsid w:val="00126E00"/>
    <w:rsid w:val="00137662"/>
    <w:rsid w:val="00160B8F"/>
    <w:rsid w:val="001640D7"/>
    <w:rsid w:val="00174D64"/>
    <w:rsid w:val="001A5627"/>
    <w:rsid w:val="001A575C"/>
    <w:rsid w:val="001A6714"/>
    <w:rsid w:val="001A6719"/>
    <w:rsid w:val="001B045C"/>
    <w:rsid w:val="001B35E7"/>
    <w:rsid w:val="001B6B00"/>
    <w:rsid w:val="001C1B1D"/>
    <w:rsid w:val="001C302E"/>
    <w:rsid w:val="001D7420"/>
    <w:rsid w:val="001E54BA"/>
    <w:rsid w:val="001F4C50"/>
    <w:rsid w:val="0020404E"/>
    <w:rsid w:val="002223C5"/>
    <w:rsid w:val="00227D5E"/>
    <w:rsid w:val="002501B1"/>
    <w:rsid w:val="00252CE5"/>
    <w:rsid w:val="00267DE3"/>
    <w:rsid w:val="00273D02"/>
    <w:rsid w:val="002A0706"/>
    <w:rsid w:val="002F6457"/>
    <w:rsid w:val="00303539"/>
    <w:rsid w:val="00331034"/>
    <w:rsid w:val="003332DD"/>
    <w:rsid w:val="00352689"/>
    <w:rsid w:val="003535E8"/>
    <w:rsid w:val="00370F38"/>
    <w:rsid w:val="00385BB1"/>
    <w:rsid w:val="00397D22"/>
    <w:rsid w:val="003D35CD"/>
    <w:rsid w:val="003E23A0"/>
    <w:rsid w:val="003E3140"/>
    <w:rsid w:val="003E6718"/>
    <w:rsid w:val="003F0E35"/>
    <w:rsid w:val="003F5392"/>
    <w:rsid w:val="00410F50"/>
    <w:rsid w:val="00420C54"/>
    <w:rsid w:val="00423FE5"/>
    <w:rsid w:val="00433344"/>
    <w:rsid w:val="00433D5B"/>
    <w:rsid w:val="004368DC"/>
    <w:rsid w:val="0044241D"/>
    <w:rsid w:val="00456792"/>
    <w:rsid w:val="004619F2"/>
    <w:rsid w:val="00465A1D"/>
    <w:rsid w:val="00481CEC"/>
    <w:rsid w:val="00483B1A"/>
    <w:rsid w:val="004852FC"/>
    <w:rsid w:val="00495F85"/>
    <w:rsid w:val="004B1EEA"/>
    <w:rsid w:val="004C7DD5"/>
    <w:rsid w:val="004E6267"/>
    <w:rsid w:val="00504ABD"/>
    <w:rsid w:val="00526FB9"/>
    <w:rsid w:val="00533669"/>
    <w:rsid w:val="00570DBD"/>
    <w:rsid w:val="00571223"/>
    <w:rsid w:val="00573784"/>
    <w:rsid w:val="00580147"/>
    <w:rsid w:val="005A6678"/>
    <w:rsid w:val="005B410A"/>
    <w:rsid w:val="005B78EF"/>
    <w:rsid w:val="005C1D00"/>
    <w:rsid w:val="005F0296"/>
    <w:rsid w:val="005F065D"/>
    <w:rsid w:val="005F08EF"/>
    <w:rsid w:val="005F6316"/>
    <w:rsid w:val="00624E78"/>
    <w:rsid w:val="00627524"/>
    <w:rsid w:val="00645B6A"/>
    <w:rsid w:val="0066766C"/>
    <w:rsid w:val="006700E7"/>
    <w:rsid w:val="00674767"/>
    <w:rsid w:val="00680EAD"/>
    <w:rsid w:val="00683E93"/>
    <w:rsid w:val="00686D9A"/>
    <w:rsid w:val="00692AEB"/>
    <w:rsid w:val="006A3A58"/>
    <w:rsid w:val="006A77A7"/>
    <w:rsid w:val="006B3081"/>
    <w:rsid w:val="006D3519"/>
    <w:rsid w:val="007009B4"/>
    <w:rsid w:val="00717E14"/>
    <w:rsid w:val="00732424"/>
    <w:rsid w:val="007337E1"/>
    <w:rsid w:val="007700BF"/>
    <w:rsid w:val="00776647"/>
    <w:rsid w:val="007778C8"/>
    <w:rsid w:val="0079685D"/>
    <w:rsid w:val="0079773D"/>
    <w:rsid w:val="007A341D"/>
    <w:rsid w:val="007A56BB"/>
    <w:rsid w:val="007B0E2A"/>
    <w:rsid w:val="007B74A6"/>
    <w:rsid w:val="007B74CB"/>
    <w:rsid w:val="007D1447"/>
    <w:rsid w:val="007F0D7C"/>
    <w:rsid w:val="007F3F80"/>
    <w:rsid w:val="007F4BE3"/>
    <w:rsid w:val="008139DC"/>
    <w:rsid w:val="00820D48"/>
    <w:rsid w:val="00825C18"/>
    <w:rsid w:val="00830066"/>
    <w:rsid w:val="00830DCA"/>
    <w:rsid w:val="00840A47"/>
    <w:rsid w:val="0085657B"/>
    <w:rsid w:val="00865844"/>
    <w:rsid w:val="0087301D"/>
    <w:rsid w:val="00880359"/>
    <w:rsid w:val="00884755"/>
    <w:rsid w:val="00885095"/>
    <w:rsid w:val="00892C9E"/>
    <w:rsid w:val="0089328A"/>
    <w:rsid w:val="00894DA1"/>
    <w:rsid w:val="008C6040"/>
    <w:rsid w:val="008E2B07"/>
    <w:rsid w:val="00906677"/>
    <w:rsid w:val="00913E98"/>
    <w:rsid w:val="0091660F"/>
    <w:rsid w:val="009342E3"/>
    <w:rsid w:val="009366B6"/>
    <w:rsid w:val="00940906"/>
    <w:rsid w:val="00952D9E"/>
    <w:rsid w:val="00955B31"/>
    <w:rsid w:val="00975734"/>
    <w:rsid w:val="00984053"/>
    <w:rsid w:val="0099286B"/>
    <w:rsid w:val="00996412"/>
    <w:rsid w:val="00997284"/>
    <w:rsid w:val="009B01AC"/>
    <w:rsid w:val="009E4012"/>
    <w:rsid w:val="009F600D"/>
    <w:rsid w:val="00A05896"/>
    <w:rsid w:val="00A10515"/>
    <w:rsid w:val="00A33B8F"/>
    <w:rsid w:val="00A35C81"/>
    <w:rsid w:val="00A51C77"/>
    <w:rsid w:val="00A642F5"/>
    <w:rsid w:val="00A67D71"/>
    <w:rsid w:val="00A7312F"/>
    <w:rsid w:val="00AC044A"/>
    <w:rsid w:val="00AC1D54"/>
    <w:rsid w:val="00AC4580"/>
    <w:rsid w:val="00AC662F"/>
    <w:rsid w:val="00AD01C1"/>
    <w:rsid w:val="00B3634F"/>
    <w:rsid w:val="00B5241A"/>
    <w:rsid w:val="00B526EB"/>
    <w:rsid w:val="00B52F52"/>
    <w:rsid w:val="00B5562F"/>
    <w:rsid w:val="00B615EA"/>
    <w:rsid w:val="00B62BBA"/>
    <w:rsid w:val="00B71A6E"/>
    <w:rsid w:val="00B724BB"/>
    <w:rsid w:val="00B8547E"/>
    <w:rsid w:val="00B93C0A"/>
    <w:rsid w:val="00BA7C7A"/>
    <w:rsid w:val="00BB4E2A"/>
    <w:rsid w:val="00BB7130"/>
    <w:rsid w:val="00BC0596"/>
    <w:rsid w:val="00BC4095"/>
    <w:rsid w:val="00BD1886"/>
    <w:rsid w:val="00BD6B34"/>
    <w:rsid w:val="00BE3817"/>
    <w:rsid w:val="00BF3B00"/>
    <w:rsid w:val="00C01F27"/>
    <w:rsid w:val="00C10F03"/>
    <w:rsid w:val="00C16800"/>
    <w:rsid w:val="00C34563"/>
    <w:rsid w:val="00C432CA"/>
    <w:rsid w:val="00C60062"/>
    <w:rsid w:val="00C74155"/>
    <w:rsid w:val="00C74A32"/>
    <w:rsid w:val="00C80D26"/>
    <w:rsid w:val="00C81E34"/>
    <w:rsid w:val="00C87F2B"/>
    <w:rsid w:val="00C90D71"/>
    <w:rsid w:val="00C92AC1"/>
    <w:rsid w:val="00C97C03"/>
    <w:rsid w:val="00CA104D"/>
    <w:rsid w:val="00CA25EF"/>
    <w:rsid w:val="00CB1674"/>
    <w:rsid w:val="00CB466D"/>
    <w:rsid w:val="00CB77AD"/>
    <w:rsid w:val="00CC3554"/>
    <w:rsid w:val="00CC37A1"/>
    <w:rsid w:val="00CF6CCA"/>
    <w:rsid w:val="00D05902"/>
    <w:rsid w:val="00D41217"/>
    <w:rsid w:val="00D52690"/>
    <w:rsid w:val="00D62C3B"/>
    <w:rsid w:val="00D769D1"/>
    <w:rsid w:val="00D86EF5"/>
    <w:rsid w:val="00DA3BB6"/>
    <w:rsid w:val="00DB01C6"/>
    <w:rsid w:val="00DB29DD"/>
    <w:rsid w:val="00DB2CFB"/>
    <w:rsid w:val="00DB4033"/>
    <w:rsid w:val="00DB5008"/>
    <w:rsid w:val="00DC2CA1"/>
    <w:rsid w:val="00DD45D5"/>
    <w:rsid w:val="00DD7865"/>
    <w:rsid w:val="00DE13A7"/>
    <w:rsid w:val="00DE52FD"/>
    <w:rsid w:val="00DF7586"/>
    <w:rsid w:val="00E0566A"/>
    <w:rsid w:val="00E06D8B"/>
    <w:rsid w:val="00E150C2"/>
    <w:rsid w:val="00E325D7"/>
    <w:rsid w:val="00E33E92"/>
    <w:rsid w:val="00E41D99"/>
    <w:rsid w:val="00E475FB"/>
    <w:rsid w:val="00E62A5B"/>
    <w:rsid w:val="00E635C3"/>
    <w:rsid w:val="00E6535A"/>
    <w:rsid w:val="00E65C98"/>
    <w:rsid w:val="00E72499"/>
    <w:rsid w:val="00E812F3"/>
    <w:rsid w:val="00E81AAF"/>
    <w:rsid w:val="00E833E3"/>
    <w:rsid w:val="00E84365"/>
    <w:rsid w:val="00EA297F"/>
    <w:rsid w:val="00EA396E"/>
    <w:rsid w:val="00EB4BBB"/>
    <w:rsid w:val="00EC7E3E"/>
    <w:rsid w:val="00ED1F37"/>
    <w:rsid w:val="00EE6281"/>
    <w:rsid w:val="00F1763A"/>
    <w:rsid w:val="00F20BC7"/>
    <w:rsid w:val="00F37718"/>
    <w:rsid w:val="00F402A9"/>
    <w:rsid w:val="00F6222C"/>
    <w:rsid w:val="00F6443D"/>
    <w:rsid w:val="00F702E4"/>
    <w:rsid w:val="00F749C0"/>
    <w:rsid w:val="00F905CA"/>
    <w:rsid w:val="00F965AD"/>
    <w:rsid w:val="00FB2D9B"/>
    <w:rsid w:val="00FD33CC"/>
    <w:rsid w:val="00FD5A07"/>
    <w:rsid w:val="00FE3B42"/>
    <w:rsid w:val="00FF65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33"/>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5"/>
      </w:numPr>
    </w:pPr>
  </w:style>
  <w:style w:type="paragraph" w:customStyle="1" w:styleId="CCYPBulletsIndent">
    <w:name w:val="CCYP Bullets Indent"/>
    <w:basedOn w:val="CCYPBullets"/>
    <w:qFormat/>
    <w:rsid w:val="009E4012"/>
    <w:pPr>
      <w:numPr>
        <w:numId w:val="37"/>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15"/>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5"/>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C302E"/>
    <w:pPr>
      <w:ind w:left="720"/>
      <w:contextualSpacing/>
    </w:pPr>
  </w:style>
  <w:style w:type="character" w:styleId="CommentReference">
    <w:name w:val="annotation reference"/>
    <w:basedOn w:val="DefaultParagraphFont"/>
    <w:uiPriority w:val="99"/>
    <w:semiHidden/>
    <w:unhideWhenUsed/>
    <w:rsid w:val="00686D9A"/>
    <w:rPr>
      <w:sz w:val="16"/>
      <w:szCs w:val="16"/>
    </w:rPr>
  </w:style>
  <w:style w:type="paragraph" w:styleId="CommentText">
    <w:name w:val="annotation text"/>
    <w:basedOn w:val="Normal"/>
    <w:link w:val="CommentTextChar"/>
    <w:uiPriority w:val="99"/>
    <w:semiHidden/>
    <w:unhideWhenUsed/>
    <w:rsid w:val="00686D9A"/>
    <w:rPr>
      <w:sz w:val="20"/>
      <w:szCs w:val="20"/>
    </w:rPr>
  </w:style>
  <w:style w:type="character" w:customStyle="1" w:styleId="CommentTextChar">
    <w:name w:val="Comment Text Char"/>
    <w:basedOn w:val="DefaultParagraphFont"/>
    <w:link w:val="CommentText"/>
    <w:uiPriority w:val="99"/>
    <w:semiHidden/>
    <w:rsid w:val="00686D9A"/>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86D9A"/>
    <w:rPr>
      <w:b/>
      <w:bCs/>
    </w:rPr>
  </w:style>
  <w:style w:type="character" w:customStyle="1" w:styleId="CommentSubjectChar">
    <w:name w:val="Comment Subject Char"/>
    <w:basedOn w:val="CommentTextChar"/>
    <w:link w:val="CommentSubject"/>
    <w:uiPriority w:val="99"/>
    <w:semiHidden/>
    <w:rsid w:val="00686D9A"/>
    <w:rPr>
      <w:rFonts w:ascii="Arial" w:hAnsi="Arial" w:cs="Times New Roman"/>
      <w:b/>
      <w:bCs/>
      <w:color w:val="000000" w:themeColor="text1"/>
      <w:sz w:val="20"/>
      <w:szCs w:val="20"/>
    </w:rPr>
  </w:style>
  <w:style w:type="paragraph" w:styleId="FootnoteText">
    <w:name w:val="footnote text"/>
    <w:basedOn w:val="Normal"/>
    <w:link w:val="FootnoteTextChar"/>
    <w:uiPriority w:val="99"/>
    <w:semiHidden/>
    <w:unhideWhenUsed/>
    <w:rsid w:val="0005323D"/>
    <w:pPr>
      <w:spacing w:before="0"/>
    </w:pPr>
    <w:rPr>
      <w:sz w:val="20"/>
      <w:szCs w:val="20"/>
    </w:rPr>
  </w:style>
  <w:style w:type="character" w:customStyle="1" w:styleId="FootnoteTextChar">
    <w:name w:val="Footnote Text Char"/>
    <w:basedOn w:val="DefaultParagraphFont"/>
    <w:link w:val="FootnoteText"/>
    <w:uiPriority w:val="99"/>
    <w:semiHidden/>
    <w:rsid w:val="0005323D"/>
    <w:rPr>
      <w:rFonts w:ascii="Arial" w:hAnsi="Arial" w:cs="Times New Roman"/>
      <w:color w:val="000000" w:themeColor="text1"/>
      <w:sz w:val="20"/>
      <w:szCs w:val="20"/>
    </w:rPr>
  </w:style>
  <w:style w:type="character" w:styleId="FootnoteReference">
    <w:name w:val="footnote reference"/>
    <w:basedOn w:val="DefaultParagraphFont"/>
    <w:uiPriority w:val="99"/>
    <w:semiHidden/>
    <w:unhideWhenUsed/>
    <w:rsid w:val="0005323D"/>
    <w:rPr>
      <w:vertAlign w:val="superscript"/>
    </w:rPr>
  </w:style>
  <w:style w:type="paragraph" w:styleId="Revision">
    <w:name w:val="Revision"/>
    <w:hidden/>
    <w:uiPriority w:val="99"/>
    <w:semiHidden/>
    <w:rsid w:val="0005323D"/>
    <w:rPr>
      <w:rFonts w:ascii="Arial" w:hAnsi="Arial" w:cs="Times New Roman"/>
      <w:color w:val="000000" w:themeColor="tex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33"/>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5"/>
      </w:numPr>
    </w:pPr>
  </w:style>
  <w:style w:type="paragraph" w:customStyle="1" w:styleId="CCYPBulletsIndent">
    <w:name w:val="CCYP Bullets Indent"/>
    <w:basedOn w:val="CCYPBullets"/>
    <w:qFormat/>
    <w:rsid w:val="009E4012"/>
    <w:pPr>
      <w:numPr>
        <w:numId w:val="37"/>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15"/>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5"/>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C302E"/>
    <w:pPr>
      <w:ind w:left="720"/>
      <w:contextualSpacing/>
    </w:pPr>
  </w:style>
  <w:style w:type="character" w:styleId="CommentReference">
    <w:name w:val="annotation reference"/>
    <w:basedOn w:val="DefaultParagraphFont"/>
    <w:uiPriority w:val="99"/>
    <w:semiHidden/>
    <w:unhideWhenUsed/>
    <w:rsid w:val="00686D9A"/>
    <w:rPr>
      <w:sz w:val="16"/>
      <w:szCs w:val="16"/>
    </w:rPr>
  </w:style>
  <w:style w:type="paragraph" w:styleId="CommentText">
    <w:name w:val="annotation text"/>
    <w:basedOn w:val="Normal"/>
    <w:link w:val="CommentTextChar"/>
    <w:uiPriority w:val="99"/>
    <w:semiHidden/>
    <w:unhideWhenUsed/>
    <w:rsid w:val="00686D9A"/>
    <w:rPr>
      <w:sz w:val="20"/>
      <w:szCs w:val="20"/>
    </w:rPr>
  </w:style>
  <w:style w:type="character" w:customStyle="1" w:styleId="CommentTextChar">
    <w:name w:val="Comment Text Char"/>
    <w:basedOn w:val="DefaultParagraphFont"/>
    <w:link w:val="CommentText"/>
    <w:uiPriority w:val="99"/>
    <w:semiHidden/>
    <w:rsid w:val="00686D9A"/>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86D9A"/>
    <w:rPr>
      <w:b/>
      <w:bCs/>
    </w:rPr>
  </w:style>
  <w:style w:type="character" w:customStyle="1" w:styleId="CommentSubjectChar">
    <w:name w:val="Comment Subject Char"/>
    <w:basedOn w:val="CommentTextChar"/>
    <w:link w:val="CommentSubject"/>
    <w:uiPriority w:val="99"/>
    <w:semiHidden/>
    <w:rsid w:val="00686D9A"/>
    <w:rPr>
      <w:rFonts w:ascii="Arial" w:hAnsi="Arial" w:cs="Times New Roman"/>
      <w:b/>
      <w:bCs/>
      <w:color w:val="000000" w:themeColor="text1"/>
      <w:sz w:val="20"/>
      <w:szCs w:val="20"/>
    </w:rPr>
  </w:style>
  <w:style w:type="paragraph" w:styleId="FootnoteText">
    <w:name w:val="footnote text"/>
    <w:basedOn w:val="Normal"/>
    <w:link w:val="FootnoteTextChar"/>
    <w:uiPriority w:val="99"/>
    <w:semiHidden/>
    <w:unhideWhenUsed/>
    <w:rsid w:val="0005323D"/>
    <w:pPr>
      <w:spacing w:before="0"/>
    </w:pPr>
    <w:rPr>
      <w:sz w:val="20"/>
      <w:szCs w:val="20"/>
    </w:rPr>
  </w:style>
  <w:style w:type="character" w:customStyle="1" w:styleId="FootnoteTextChar">
    <w:name w:val="Footnote Text Char"/>
    <w:basedOn w:val="DefaultParagraphFont"/>
    <w:link w:val="FootnoteText"/>
    <w:uiPriority w:val="99"/>
    <w:semiHidden/>
    <w:rsid w:val="0005323D"/>
    <w:rPr>
      <w:rFonts w:ascii="Arial" w:hAnsi="Arial" w:cs="Times New Roman"/>
      <w:color w:val="000000" w:themeColor="text1"/>
      <w:sz w:val="20"/>
      <w:szCs w:val="20"/>
    </w:rPr>
  </w:style>
  <w:style w:type="character" w:styleId="FootnoteReference">
    <w:name w:val="footnote reference"/>
    <w:basedOn w:val="DefaultParagraphFont"/>
    <w:uiPriority w:val="99"/>
    <w:semiHidden/>
    <w:unhideWhenUsed/>
    <w:rsid w:val="0005323D"/>
    <w:rPr>
      <w:vertAlign w:val="superscript"/>
    </w:rPr>
  </w:style>
  <w:style w:type="paragraph" w:styleId="Revision">
    <w:name w:val="Revision"/>
    <w:hidden/>
    <w:uiPriority w:val="99"/>
    <w:semiHidden/>
    <w:rsid w:val="0005323D"/>
    <w:rPr>
      <w:rFonts w:ascii="Arial" w:hAnsi="Arial" w:cs="Times New Roman"/>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pboa1510\AppData\Local\Temp\notes0CEF7A\www.ccyp.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ldsafestandards@ccyp.vic.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a1510\AppData\Local\Temp\notes0CEF7A\~1655496.dotx" TargetMode="External"/></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A231AC-AE41-4CA2-84FE-2F88DBB7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~1655496.dotx</Template>
  <TotalTime>0</TotalTime>
  <Pages>4</Pages>
  <Words>1406</Words>
  <Characters>7695</Characters>
  <Application>Microsoft Office Word</Application>
  <DocSecurity>0</DocSecurity>
  <Lines>307</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pboa1510</dc:creator>
  <cp:lastModifiedBy>Todd Sweeney</cp:lastModifiedBy>
  <cp:revision>2</cp:revision>
  <cp:lastPrinted>2018-05-24T03:48:00Z</cp:lastPrinted>
  <dcterms:created xsi:type="dcterms:W3CDTF">2018-06-21T03:39:00Z</dcterms:created>
  <dcterms:modified xsi:type="dcterms:W3CDTF">2018-06-21T03:39:00Z</dcterms:modified>
</cp:coreProperties>
</file>